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les difficultés de communication potentielles du requérant/appelant</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