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SANS</w:t>
            </w:r>
          </w:p>
        </w:tc>
        <w:tc>
          <w:tcPr>
            <w:tcW w:type="dxa" w:w="1440"/>
          </w:tcPr>
          <w:p>
            <w:r>
              <w:t>Sans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moyen de transport ne comporte aucun acteur de santé (transport par moyen personnel, taxi, transport en commun, ...)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