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vecteur/véhicule ou de ressource mobilisée, avec plus de précision que simplement le type de ressources. Utilisée exclusivement en inter-santé (cf. EMSI-OPG pour 15-NexSIS)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AASC.VLSC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Leger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AASC.VPSP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Véhicule de Premiers Secours à Personnes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AASC.AUTRESC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personnel sans précsion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AUTREVEC.TAXI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Taxi et assimilés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AUTREVEC.TRANSP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Transports en commun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sans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AUTREVEC.AUTRETRA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FSI.HELIFSI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Forces de l’Ordre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FSI.VLFSI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VL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FSI.FFSI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Fourgon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FSI.VHFSI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LIB.MEDV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LIB.INF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LIB.AUTREPRO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professionnel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SIS.DRAGON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SIS.AVSC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SIS.FEUSIS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incendie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SIS.GRIMP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du GRIMP et montagne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SIS.NAVISIS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nautique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SIS.PCSIS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Poste de commandement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SIS.SRSIS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de secours routiers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SIS.VCH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SIS.VLCG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chef de groupe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infirmier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SIS.VLMSP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Médecin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autre usage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SIS.VPL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plongeurs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du Poste Médical Avancé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radioactivité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SIS.VSAV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secours et d'assistance aux victimes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SIS.MOYSSE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SIS.AUTRESIS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SMUR.VLM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SMUR.VL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liaison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SMUR.VPC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Poste de Commandement et ou d’évacuation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SMUR.AR-BAR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SMUR.AR-PED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SMUR.HELISMUR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SMUR.HELISAN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SMUR.AVSMUR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SMUR.AVSAN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TSU.VSL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Sanitaire Léger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TSU.AMB-GV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grand contenant - type 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TSU.AMB-PV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petit contenant - type 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- type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catégorie non définie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