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les effets à obtenir utilisés uniquement entre SAMU, en intersanté.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