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la priorité de régulation médicale.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