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ENUM-SIGNALEMENT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niveau de signalement de l'alerte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STANDARD</w:t>
            </w:r>
          </w:p>
        </w:tc>
        <w:tc>
          <w:tcPr>
            <w:tcW w:type="dxa" w:w="1728"/>
          </w:tcPr>
          <w:p>
            <w:r>
              <w:t>STANDARD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ATTENTION</w:t>
            </w:r>
          </w:p>
        </w:tc>
        <w:tc>
          <w:tcPr>
            <w:tcW w:type="dxa" w:w="1728"/>
          </w:tcPr>
          <w:p>
            <w:r>
              <w:t>ATTENTION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