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EMSI-CONTEXT.SECLASS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Confidentiel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Restreint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CODE MAUVAIS  ERREUR DANS EMSI</w:t>
            </w:r>
          </w:p>
        </w:tc>
      </w:tr>
      <w:tr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TOPSRT</w:t>
            </w:r>
          </w:p>
        </w:tc>
        <w:tc>
          <w:tcPr>
            <w:tcW w:type="dxa" w:w="2160"/>
          </w:tcPr>
          <w:p>
            <w:r>
              <w:t xml:space="preserve"> très 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UNCLAS</w:t>
            </w:r>
          </w:p>
        </w:tc>
        <w:tc>
          <w:tcPr>
            <w:tcW w:type="dxa" w:w="2160"/>
          </w:tcPr>
          <w:p>
            <w:r>
              <w:t>Non classifié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UNMARK</w:t>
            </w:r>
          </w:p>
        </w:tc>
        <w:tc>
          <w:tcPr>
            <w:tcW w:type="dxa" w:w="2160"/>
          </w:tcPr>
          <w:p>
            <w:r>
              <w:t>non marqué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