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C49" w:rsidRPr="009979C2" w:rsidRDefault="00596C49" w:rsidP="00596C49">
      <w:pPr>
        <w:rPr>
          <w:b/>
        </w:rPr>
      </w:pPr>
      <w:r>
        <w:rPr>
          <w:b/>
        </w:rPr>
        <w:t>Supplementary Table S4. Authorities specifically mentioned in retraction notices as being involved in the decision to retract, with percentage of the 3,510 articles for which the notice specified any authorities (except as noted).</w:t>
      </w:r>
    </w:p>
    <w:p w:rsidR="00596C49" w:rsidRDefault="00596C49" w:rsidP="00596C49">
      <w:pPr>
        <w:pStyle w:val="ListParagraph"/>
        <w:spacing w:after="0"/>
      </w:pPr>
    </w:p>
    <w:tbl>
      <w:tblPr>
        <w:tblW w:w="5140" w:type="dxa"/>
        <w:jc w:val="center"/>
        <w:tblInd w:w="-165" w:type="dxa"/>
        <w:shd w:val="clear" w:color="auto" w:fill="FFFFFF" w:themeFill="background1"/>
        <w:tblLook w:val="04A0"/>
      </w:tblPr>
      <w:tblGrid>
        <w:gridCol w:w="3301"/>
        <w:gridCol w:w="1839"/>
      </w:tblGrid>
      <w:tr w:rsidR="00596C49" w:rsidRPr="009979C2" w:rsidTr="00971A2E">
        <w:trPr>
          <w:trHeight w:val="300"/>
          <w:jc w:val="center"/>
        </w:trPr>
        <w:tc>
          <w:tcPr>
            <w:tcW w:w="3301" w:type="dxa"/>
            <w:tcBorders>
              <w:top w:val="nil"/>
              <w:left w:val="nil"/>
              <w:bottom w:val="single" w:sz="4" w:space="0" w:color="auto"/>
              <w:right w:val="nil"/>
            </w:tcBorders>
            <w:shd w:val="clear" w:color="auto" w:fill="FFFFFF" w:themeFill="background1"/>
            <w:noWrap/>
            <w:vAlign w:val="bottom"/>
          </w:tcPr>
          <w:p w:rsidR="00596C49" w:rsidRPr="00E03305" w:rsidRDefault="00596C49" w:rsidP="0017415D">
            <w:pPr>
              <w:jc w:val="center"/>
              <w:rPr>
                <w:rFonts w:ascii="Calibri" w:eastAsia="Times New Roman" w:hAnsi="Calibri" w:cs="Calibri"/>
                <w:b/>
                <w:color w:val="000000"/>
              </w:rPr>
            </w:pPr>
            <w:r w:rsidRPr="00E03305">
              <w:rPr>
                <w:rFonts w:ascii="Calibri" w:eastAsia="Times New Roman" w:hAnsi="Calibri" w:cs="Calibri"/>
                <w:b/>
                <w:color w:val="000000"/>
              </w:rPr>
              <w:t>Retraction authority</w:t>
            </w:r>
          </w:p>
        </w:tc>
        <w:tc>
          <w:tcPr>
            <w:tcW w:w="1839" w:type="dxa"/>
            <w:tcBorders>
              <w:top w:val="nil"/>
              <w:left w:val="nil"/>
              <w:bottom w:val="single" w:sz="4" w:space="0" w:color="auto"/>
              <w:right w:val="nil"/>
            </w:tcBorders>
            <w:shd w:val="clear" w:color="auto" w:fill="FFFFFF" w:themeFill="background1"/>
            <w:noWrap/>
            <w:vAlign w:val="bottom"/>
          </w:tcPr>
          <w:p w:rsidR="00596C49" w:rsidRPr="00E03305" w:rsidRDefault="00596C49" w:rsidP="0017415D">
            <w:pPr>
              <w:jc w:val="center"/>
              <w:rPr>
                <w:rFonts w:ascii="Calibri" w:eastAsia="Times New Roman" w:hAnsi="Calibri" w:cs="Calibri"/>
                <w:b/>
                <w:color w:val="000000"/>
              </w:rPr>
            </w:pPr>
            <w:r w:rsidRPr="00E03305">
              <w:rPr>
                <w:rFonts w:ascii="Calibri" w:eastAsia="Times New Roman" w:hAnsi="Calibri" w:cs="Calibri"/>
                <w:b/>
                <w:color w:val="000000"/>
              </w:rPr>
              <w:t>Number and percentage</w:t>
            </w:r>
          </w:p>
        </w:tc>
      </w:tr>
      <w:tr w:rsidR="00596C49" w:rsidRPr="009979C2" w:rsidTr="00971A2E">
        <w:trPr>
          <w:trHeight w:val="300"/>
          <w:jc w:val="center"/>
        </w:trPr>
        <w:tc>
          <w:tcPr>
            <w:tcW w:w="3301" w:type="dxa"/>
            <w:tcBorders>
              <w:top w:val="single" w:sz="4" w:space="0" w:color="auto"/>
              <w:left w:val="nil"/>
              <w:right w:val="nil"/>
            </w:tcBorders>
            <w:shd w:val="clear" w:color="auto" w:fill="FFFFFF" w:themeFill="background1"/>
            <w:noWrap/>
            <w:vAlign w:val="bottom"/>
          </w:tcPr>
          <w:p w:rsidR="00596C49" w:rsidRPr="009979C2" w:rsidRDefault="00596C49" w:rsidP="0017415D">
            <w:pPr>
              <w:jc w:val="center"/>
              <w:rPr>
                <w:rFonts w:ascii="Calibri" w:eastAsia="Times New Roman" w:hAnsi="Calibri" w:cs="Calibri"/>
                <w:color w:val="000000"/>
              </w:rPr>
            </w:pPr>
            <w:r w:rsidRPr="009979C2">
              <w:rPr>
                <w:rFonts w:ascii="Calibri" w:eastAsia="Times New Roman" w:hAnsi="Calibri" w:cs="Calibri"/>
                <w:color w:val="000000"/>
              </w:rPr>
              <w:t>Publisher or "journal"</w:t>
            </w:r>
          </w:p>
        </w:tc>
        <w:tc>
          <w:tcPr>
            <w:tcW w:w="1839" w:type="dxa"/>
            <w:tcBorders>
              <w:top w:val="single" w:sz="4" w:space="0" w:color="auto"/>
              <w:left w:val="nil"/>
              <w:right w:val="nil"/>
            </w:tcBorders>
            <w:shd w:val="clear" w:color="auto" w:fill="FFFFFF" w:themeFill="background1"/>
            <w:noWrap/>
            <w:vAlign w:val="bottom"/>
          </w:tcPr>
          <w:p w:rsidR="00596C49" w:rsidRPr="009979C2" w:rsidRDefault="00596C49" w:rsidP="0017415D">
            <w:pPr>
              <w:jc w:val="center"/>
              <w:rPr>
                <w:rFonts w:ascii="Calibri" w:eastAsia="Times New Roman" w:hAnsi="Calibri" w:cs="Calibri"/>
                <w:color w:val="000000"/>
              </w:rPr>
            </w:pPr>
            <w:r>
              <w:rPr>
                <w:rFonts w:ascii="Calibri" w:eastAsia="Times New Roman" w:hAnsi="Calibri" w:cs="Calibri"/>
                <w:color w:val="000000"/>
              </w:rPr>
              <w:t>762 (21.7%)</w:t>
            </w:r>
          </w:p>
        </w:tc>
      </w:tr>
      <w:tr w:rsidR="00596C49" w:rsidRPr="009979C2" w:rsidTr="00971A2E">
        <w:trPr>
          <w:trHeight w:val="300"/>
          <w:jc w:val="center"/>
        </w:trPr>
        <w:tc>
          <w:tcPr>
            <w:tcW w:w="3301" w:type="dxa"/>
            <w:tcBorders>
              <w:top w:val="nil"/>
              <w:left w:val="nil"/>
              <w:right w:val="nil"/>
            </w:tcBorders>
            <w:shd w:val="clear" w:color="auto" w:fill="FFFFFF" w:themeFill="background1"/>
            <w:noWrap/>
            <w:vAlign w:val="bottom"/>
          </w:tcPr>
          <w:p w:rsidR="00596C49" w:rsidRPr="009979C2" w:rsidRDefault="00596C49" w:rsidP="0017415D">
            <w:pPr>
              <w:jc w:val="center"/>
              <w:rPr>
                <w:rFonts w:ascii="Calibri" w:eastAsia="Times New Roman" w:hAnsi="Calibri" w:cs="Calibri"/>
                <w:color w:val="000000"/>
              </w:rPr>
            </w:pPr>
            <w:r w:rsidRPr="009979C2">
              <w:rPr>
                <w:rFonts w:ascii="Calibri" w:eastAsia="Times New Roman" w:hAnsi="Calibri" w:cs="Calibri"/>
                <w:color w:val="000000"/>
              </w:rPr>
              <w:t>Editor</w:t>
            </w:r>
          </w:p>
        </w:tc>
        <w:tc>
          <w:tcPr>
            <w:tcW w:w="1839" w:type="dxa"/>
            <w:tcBorders>
              <w:top w:val="nil"/>
              <w:left w:val="nil"/>
              <w:right w:val="nil"/>
            </w:tcBorders>
            <w:shd w:val="clear" w:color="auto" w:fill="FFFFFF" w:themeFill="background1"/>
            <w:noWrap/>
            <w:vAlign w:val="bottom"/>
          </w:tcPr>
          <w:p w:rsidR="00596C49" w:rsidRPr="009979C2" w:rsidRDefault="00596C49" w:rsidP="0017415D">
            <w:pPr>
              <w:jc w:val="center"/>
              <w:rPr>
                <w:rFonts w:ascii="Calibri" w:eastAsia="Times New Roman" w:hAnsi="Calibri" w:cs="Calibri"/>
                <w:color w:val="000000"/>
              </w:rPr>
            </w:pPr>
            <w:r>
              <w:rPr>
                <w:rFonts w:ascii="Calibri" w:eastAsia="Times New Roman" w:hAnsi="Calibri" w:cs="Calibri"/>
                <w:color w:val="000000"/>
              </w:rPr>
              <w:t>1,636 (46.6%)</w:t>
            </w:r>
          </w:p>
        </w:tc>
      </w:tr>
      <w:tr w:rsidR="00596C49" w:rsidRPr="009979C2" w:rsidTr="00971A2E">
        <w:trPr>
          <w:trHeight w:val="300"/>
          <w:jc w:val="center"/>
        </w:trPr>
        <w:tc>
          <w:tcPr>
            <w:tcW w:w="3301" w:type="dxa"/>
            <w:shd w:val="clear" w:color="auto" w:fill="FFFFFF" w:themeFill="background1"/>
            <w:noWrap/>
            <w:vAlign w:val="bottom"/>
          </w:tcPr>
          <w:p w:rsidR="00596C49" w:rsidRPr="009979C2" w:rsidRDefault="00596C49" w:rsidP="0017415D">
            <w:pPr>
              <w:jc w:val="center"/>
              <w:rPr>
                <w:rFonts w:ascii="Calibri" w:eastAsia="Times New Roman" w:hAnsi="Calibri" w:cs="Calibri"/>
                <w:color w:val="000000"/>
              </w:rPr>
            </w:pPr>
            <w:r>
              <w:rPr>
                <w:rFonts w:ascii="Calibri" w:eastAsia="Times New Roman" w:hAnsi="Calibri" w:cs="Calibri"/>
                <w:color w:val="000000"/>
              </w:rPr>
              <w:t>Publisher, “journal” or editor</w:t>
            </w:r>
          </w:p>
        </w:tc>
        <w:tc>
          <w:tcPr>
            <w:tcW w:w="1839" w:type="dxa"/>
            <w:shd w:val="clear" w:color="auto" w:fill="FFFFFF" w:themeFill="background1"/>
            <w:noWrap/>
            <w:vAlign w:val="bottom"/>
          </w:tcPr>
          <w:p w:rsidR="00596C49" w:rsidRPr="009979C2" w:rsidRDefault="00596C49" w:rsidP="0017415D">
            <w:pPr>
              <w:jc w:val="center"/>
              <w:rPr>
                <w:rFonts w:ascii="Calibri" w:eastAsia="Times New Roman" w:hAnsi="Calibri" w:cs="Calibri"/>
                <w:color w:val="000000"/>
              </w:rPr>
            </w:pPr>
            <w:r>
              <w:rPr>
                <w:rFonts w:ascii="Calibri" w:eastAsia="Times New Roman" w:hAnsi="Calibri" w:cs="Calibri"/>
                <w:color w:val="000000"/>
              </w:rPr>
              <w:t>2,088 (59.5%)</w:t>
            </w:r>
          </w:p>
        </w:tc>
      </w:tr>
      <w:tr w:rsidR="00596C49" w:rsidRPr="009979C2" w:rsidTr="00971A2E">
        <w:trPr>
          <w:trHeight w:val="300"/>
          <w:jc w:val="center"/>
        </w:trPr>
        <w:tc>
          <w:tcPr>
            <w:tcW w:w="3301" w:type="dxa"/>
            <w:tcBorders>
              <w:left w:val="nil"/>
              <w:bottom w:val="single" w:sz="4" w:space="0" w:color="auto"/>
              <w:right w:val="nil"/>
            </w:tcBorders>
            <w:shd w:val="clear" w:color="auto" w:fill="FFFFFF" w:themeFill="background1"/>
            <w:noWrap/>
            <w:vAlign w:val="bottom"/>
          </w:tcPr>
          <w:p w:rsidR="00596C49" w:rsidRPr="009979C2" w:rsidRDefault="00596C49" w:rsidP="0017415D">
            <w:pPr>
              <w:jc w:val="center"/>
              <w:rPr>
                <w:rFonts w:ascii="Calibri" w:eastAsia="Times New Roman" w:hAnsi="Calibri" w:cs="Calibri"/>
                <w:color w:val="000000"/>
              </w:rPr>
            </w:pPr>
            <w:r w:rsidRPr="009979C2">
              <w:rPr>
                <w:rFonts w:ascii="Calibri" w:eastAsia="Times New Roman" w:hAnsi="Calibri" w:cs="Calibri"/>
                <w:color w:val="000000"/>
              </w:rPr>
              <w:t>Some authors</w:t>
            </w:r>
          </w:p>
        </w:tc>
        <w:tc>
          <w:tcPr>
            <w:tcW w:w="1839" w:type="dxa"/>
            <w:tcBorders>
              <w:left w:val="nil"/>
              <w:bottom w:val="single" w:sz="4" w:space="0" w:color="auto"/>
              <w:right w:val="nil"/>
            </w:tcBorders>
            <w:shd w:val="clear" w:color="auto" w:fill="FFFFFF" w:themeFill="background1"/>
            <w:noWrap/>
            <w:vAlign w:val="bottom"/>
          </w:tcPr>
          <w:p w:rsidR="00596C49" w:rsidRPr="009979C2" w:rsidRDefault="00596C49" w:rsidP="0017415D">
            <w:pPr>
              <w:jc w:val="center"/>
              <w:rPr>
                <w:rFonts w:ascii="Calibri" w:eastAsia="Times New Roman" w:hAnsi="Calibri" w:cs="Calibri"/>
                <w:color w:val="000000"/>
              </w:rPr>
            </w:pPr>
            <w:r>
              <w:rPr>
                <w:rFonts w:ascii="Calibri" w:eastAsia="Times New Roman" w:hAnsi="Calibri" w:cs="Calibri"/>
                <w:color w:val="000000"/>
              </w:rPr>
              <w:t>468 (13.3%)</w:t>
            </w:r>
          </w:p>
        </w:tc>
      </w:tr>
      <w:tr w:rsidR="00596C49" w:rsidRPr="009979C2" w:rsidTr="00971A2E">
        <w:trPr>
          <w:trHeight w:val="300"/>
          <w:jc w:val="center"/>
        </w:trPr>
        <w:tc>
          <w:tcPr>
            <w:tcW w:w="3301" w:type="dxa"/>
            <w:tcBorders>
              <w:top w:val="single" w:sz="4" w:space="0" w:color="auto"/>
              <w:left w:val="nil"/>
              <w:right w:val="nil"/>
            </w:tcBorders>
            <w:shd w:val="clear" w:color="auto" w:fill="FFFFFF" w:themeFill="background1"/>
            <w:noWrap/>
            <w:vAlign w:val="bottom"/>
          </w:tcPr>
          <w:p w:rsidR="00596C49" w:rsidRPr="009979C2" w:rsidRDefault="00596C49" w:rsidP="0017415D">
            <w:pPr>
              <w:jc w:val="center"/>
              <w:rPr>
                <w:rFonts w:ascii="Calibri" w:eastAsia="Times New Roman" w:hAnsi="Calibri" w:cs="Calibri"/>
                <w:color w:val="000000"/>
              </w:rPr>
            </w:pPr>
            <w:r w:rsidRPr="009979C2">
              <w:rPr>
                <w:rFonts w:ascii="Calibri" w:eastAsia="Times New Roman" w:hAnsi="Calibri" w:cs="Calibri"/>
                <w:color w:val="000000"/>
              </w:rPr>
              <w:t>All authors</w:t>
            </w:r>
            <w:r>
              <w:rPr>
                <w:rFonts w:ascii="Calibri" w:eastAsia="Times New Roman" w:hAnsi="Calibri" w:cs="Calibri"/>
                <w:color w:val="000000"/>
                <w:vertAlign w:val="superscript"/>
              </w:rPr>
              <w:t>1</w:t>
            </w:r>
          </w:p>
        </w:tc>
        <w:tc>
          <w:tcPr>
            <w:tcW w:w="1839" w:type="dxa"/>
            <w:tcBorders>
              <w:top w:val="single" w:sz="4" w:space="0" w:color="auto"/>
              <w:left w:val="nil"/>
              <w:right w:val="nil"/>
            </w:tcBorders>
            <w:shd w:val="clear" w:color="auto" w:fill="FFFFFF" w:themeFill="background1"/>
            <w:noWrap/>
            <w:vAlign w:val="bottom"/>
          </w:tcPr>
          <w:p w:rsidR="00596C49" w:rsidRPr="009979C2" w:rsidRDefault="00596C49" w:rsidP="0017415D">
            <w:pPr>
              <w:jc w:val="center"/>
              <w:rPr>
                <w:rFonts w:ascii="Calibri" w:eastAsia="Times New Roman" w:hAnsi="Calibri" w:cs="Calibri"/>
                <w:color w:val="000000"/>
              </w:rPr>
            </w:pPr>
            <w:r w:rsidRPr="009979C2">
              <w:rPr>
                <w:rFonts w:ascii="Calibri" w:eastAsia="Times New Roman" w:hAnsi="Calibri" w:cs="Calibri"/>
                <w:color w:val="000000"/>
              </w:rPr>
              <w:t>1</w:t>
            </w:r>
            <w:r>
              <w:rPr>
                <w:rFonts w:ascii="Calibri" w:eastAsia="Times New Roman" w:hAnsi="Calibri" w:cs="Calibri"/>
                <w:color w:val="000000"/>
              </w:rPr>
              <w:t>,501 (42.8%)</w:t>
            </w:r>
          </w:p>
        </w:tc>
      </w:tr>
      <w:tr w:rsidR="00596C49" w:rsidRPr="009979C2" w:rsidTr="00971A2E">
        <w:trPr>
          <w:trHeight w:val="300"/>
          <w:jc w:val="center"/>
        </w:trPr>
        <w:tc>
          <w:tcPr>
            <w:tcW w:w="3301" w:type="dxa"/>
            <w:tcBorders>
              <w:top w:val="nil"/>
              <w:left w:val="nil"/>
              <w:right w:val="nil"/>
            </w:tcBorders>
            <w:shd w:val="clear" w:color="auto" w:fill="FFFFFF" w:themeFill="background1"/>
            <w:noWrap/>
            <w:vAlign w:val="bottom"/>
          </w:tcPr>
          <w:p w:rsidR="00596C49" w:rsidRDefault="00596C49" w:rsidP="0017415D">
            <w:pPr>
              <w:jc w:val="center"/>
              <w:rPr>
                <w:rFonts w:ascii="Calibri" w:eastAsia="Times New Roman" w:hAnsi="Calibri" w:cs="Calibri"/>
                <w:color w:val="000000"/>
              </w:rPr>
            </w:pPr>
            <w:r>
              <w:rPr>
                <w:rFonts w:ascii="Calibri" w:eastAsia="Times New Roman" w:hAnsi="Calibri" w:cs="Calibri"/>
                <w:color w:val="000000"/>
              </w:rPr>
              <w:t>All or some authors</w:t>
            </w:r>
          </w:p>
        </w:tc>
        <w:tc>
          <w:tcPr>
            <w:tcW w:w="1839" w:type="dxa"/>
            <w:tcBorders>
              <w:top w:val="nil"/>
              <w:left w:val="nil"/>
              <w:right w:val="nil"/>
            </w:tcBorders>
            <w:shd w:val="clear" w:color="auto" w:fill="FFFFFF" w:themeFill="background1"/>
            <w:noWrap/>
            <w:vAlign w:val="bottom"/>
          </w:tcPr>
          <w:p w:rsidR="00596C49" w:rsidRPr="009979C2" w:rsidRDefault="00596C49" w:rsidP="0017415D">
            <w:pPr>
              <w:jc w:val="center"/>
              <w:rPr>
                <w:rFonts w:ascii="Calibri" w:eastAsia="Times New Roman" w:hAnsi="Calibri" w:cs="Calibri"/>
                <w:color w:val="000000"/>
              </w:rPr>
            </w:pPr>
            <w:r>
              <w:rPr>
                <w:rFonts w:ascii="Calibri" w:eastAsia="Times New Roman" w:hAnsi="Calibri" w:cs="Calibri"/>
                <w:color w:val="000000"/>
              </w:rPr>
              <w:t>1,969 (56.1%)</w:t>
            </w:r>
          </w:p>
        </w:tc>
      </w:tr>
      <w:tr w:rsidR="00596C49" w:rsidRPr="009979C2" w:rsidTr="00971A2E">
        <w:trPr>
          <w:trHeight w:val="300"/>
          <w:jc w:val="center"/>
        </w:trPr>
        <w:tc>
          <w:tcPr>
            <w:tcW w:w="3301" w:type="dxa"/>
            <w:tcBorders>
              <w:left w:val="nil"/>
              <w:right w:val="nil"/>
            </w:tcBorders>
            <w:shd w:val="clear" w:color="auto" w:fill="FFFFFF" w:themeFill="background1"/>
            <w:noWrap/>
            <w:vAlign w:val="bottom"/>
          </w:tcPr>
          <w:p w:rsidR="00596C49" w:rsidRPr="009979C2" w:rsidRDefault="00596C49" w:rsidP="0017415D">
            <w:pPr>
              <w:jc w:val="center"/>
              <w:rPr>
                <w:rFonts w:ascii="Calibri" w:eastAsia="Times New Roman" w:hAnsi="Calibri" w:cs="Calibri"/>
                <w:color w:val="000000"/>
              </w:rPr>
            </w:pPr>
            <w:r>
              <w:rPr>
                <w:rFonts w:ascii="Calibri" w:eastAsia="Times New Roman" w:hAnsi="Calibri" w:cs="Calibri"/>
                <w:color w:val="000000"/>
              </w:rPr>
              <w:t>Local investigative committee</w:t>
            </w:r>
          </w:p>
        </w:tc>
        <w:tc>
          <w:tcPr>
            <w:tcW w:w="1839" w:type="dxa"/>
            <w:tcBorders>
              <w:left w:val="nil"/>
              <w:right w:val="nil"/>
            </w:tcBorders>
            <w:shd w:val="clear" w:color="auto" w:fill="FFFFFF" w:themeFill="background1"/>
            <w:noWrap/>
            <w:vAlign w:val="bottom"/>
          </w:tcPr>
          <w:p w:rsidR="00596C49" w:rsidRPr="009979C2" w:rsidRDefault="00596C49" w:rsidP="0017415D">
            <w:pPr>
              <w:jc w:val="center"/>
              <w:rPr>
                <w:rFonts w:ascii="Calibri" w:eastAsia="Times New Roman" w:hAnsi="Calibri" w:cs="Calibri"/>
                <w:color w:val="000000"/>
              </w:rPr>
            </w:pPr>
            <w:r w:rsidRPr="009979C2">
              <w:rPr>
                <w:rFonts w:ascii="Calibri" w:eastAsia="Times New Roman" w:hAnsi="Calibri" w:cs="Calibri"/>
                <w:color w:val="000000"/>
              </w:rPr>
              <w:t>3</w:t>
            </w:r>
            <w:r>
              <w:rPr>
                <w:rFonts w:ascii="Calibri" w:eastAsia="Times New Roman" w:hAnsi="Calibri" w:cs="Calibri"/>
                <w:color w:val="000000"/>
              </w:rPr>
              <w:t>58 (10.2%)</w:t>
            </w:r>
          </w:p>
        </w:tc>
      </w:tr>
      <w:tr w:rsidR="00596C49" w:rsidRPr="009979C2" w:rsidTr="00971A2E">
        <w:trPr>
          <w:trHeight w:val="300"/>
          <w:jc w:val="center"/>
        </w:trPr>
        <w:tc>
          <w:tcPr>
            <w:tcW w:w="3301" w:type="dxa"/>
            <w:tcBorders>
              <w:top w:val="nil"/>
              <w:left w:val="nil"/>
              <w:bottom w:val="single" w:sz="4" w:space="0" w:color="auto"/>
              <w:right w:val="nil"/>
            </w:tcBorders>
            <w:shd w:val="clear" w:color="auto" w:fill="FFFFFF" w:themeFill="background1"/>
            <w:noWrap/>
            <w:vAlign w:val="bottom"/>
          </w:tcPr>
          <w:p w:rsidR="00596C49" w:rsidRPr="009979C2" w:rsidRDefault="00596C49" w:rsidP="0017415D">
            <w:pPr>
              <w:jc w:val="center"/>
              <w:rPr>
                <w:rFonts w:ascii="Calibri" w:eastAsia="Times New Roman" w:hAnsi="Calibri" w:cs="Calibri"/>
                <w:color w:val="000000"/>
              </w:rPr>
            </w:pPr>
            <w:r w:rsidRPr="009979C2">
              <w:rPr>
                <w:rFonts w:ascii="Calibri" w:eastAsia="Times New Roman" w:hAnsi="Calibri" w:cs="Calibri"/>
                <w:color w:val="000000"/>
              </w:rPr>
              <w:t>ORI, NSF or FDA</w:t>
            </w:r>
            <w:r w:rsidRPr="00C5159E">
              <w:rPr>
                <w:rFonts w:ascii="Calibri" w:eastAsia="Times New Roman" w:hAnsi="Calibri" w:cs="Calibri"/>
                <w:color w:val="000000"/>
                <w:vertAlign w:val="superscript"/>
              </w:rPr>
              <w:t>2</w:t>
            </w:r>
          </w:p>
        </w:tc>
        <w:tc>
          <w:tcPr>
            <w:tcW w:w="1839" w:type="dxa"/>
            <w:tcBorders>
              <w:top w:val="nil"/>
              <w:left w:val="nil"/>
              <w:bottom w:val="single" w:sz="4" w:space="0" w:color="auto"/>
              <w:right w:val="nil"/>
            </w:tcBorders>
            <w:shd w:val="clear" w:color="auto" w:fill="FFFFFF" w:themeFill="background1"/>
            <w:noWrap/>
            <w:vAlign w:val="bottom"/>
          </w:tcPr>
          <w:p w:rsidR="00596C49" w:rsidRPr="009979C2" w:rsidRDefault="00596C49" w:rsidP="0017415D">
            <w:pPr>
              <w:jc w:val="center"/>
              <w:rPr>
                <w:rFonts w:ascii="Calibri" w:eastAsia="Times New Roman" w:hAnsi="Calibri" w:cs="Calibri"/>
                <w:color w:val="000000"/>
              </w:rPr>
            </w:pPr>
            <w:r w:rsidRPr="009979C2">
              <w:rPr>
                <w:rFonts w:ascii="Calibri" w:eastAsia="Times New Roman" w:hAnsi="Calibri" w:cs="Calibri"/>
                <w:color w:val="000000"/>
              </w:rPr>
              <w:t>129</w:t>
            </w:r>
            <w:r>
              <w:rPr>
                <w:rFonts w:ascii="Calibri" w:eastAsia="Times New Roman" w:hAnsi="Calibri" w:cs="Calibri"/>
                <w:color w:val="000000"/>
              </w:rPr>
              <w:t xml:space="preserve"> (3.7%)</w:t>
            </w:r>
          </w:p>
        </w:tc>
      </w:tr>
      <w:tr w:rsidR="00596C49" w:rsidRPr="009979C2" w:rsidTr="00971A2E">
        <w:trPr>
          <w:trHeight w:val="300"/>
          <w:jc w:val="center"/>
        </w:trPr>
        <w:tc>
          <w:tcPr>
            <w:tcW w:w="3301" w:type="dxa"/>
            <w:tcBorders>
              <w:top w:val="single" w:sz="4" w:space="0" w:color="auto"/>
              <w:left w:val="nil"/>
              <w:right w:val="nil"/>
            </w:tcBorders>
            <w:shd w:val="clear" w:color="auto" w:fill="FFFFFF" w:themeFill="background1"/>
            <w:noWrap/>
            <w:vAlign w:val="bottom"/>
          </w:tcPr>
          <w:p w:rsidR="00596C49" w:rsidRPr="009979C2" w:rsidRDefault="00596C49" w:rsidP="0017415D">
            <w:pPr>
              <w:jc w:val="center"/>
              <w:rPr>
                <w:rFonts w:ascii="Calibri" w:eastAsia="Times New Roman" w:hAnsi="Calibri" w:cs="Calibri"/>
                <w:color w:val="000000"/>
              </w:rPr>
            </w:pPr>
            <w:r w:rsidRPr="009979C2">
              <w:rPr>
                <w:rFonts w:ascii="Calibri" w:eastAsia="Times New Roman" w:hAnsi="Calibri" w:cs="Calibri"/>
                <w:color w:val="000000"/>
              </w:rPr>
              <w:t>Lawyer</w:t>
            </w:r>
            <w:r>
              <w:rPr>
                <w:rFonts w:ascii="Calibri" w:eastAsia="Times New Roman" w:hAnsi="Calibri" w:cs="Calibri"/>
                <w:color w:val="000000"/>
              </w:rPr>
              <w:t xml:space="preserve"> or ”court documents”</w:t>
            </w:r>
          </w:p>
        </w:tc>
        <w:tc>
          <w:tcPr>
            <w:tcW w:w="1839" w:type="dxa"/>
            <w:tcBorders>
              <w:top w:val="single" w:sz="4" w:space="0" w:color="auto"/>
              <w:left w:val="nil"/>
              <w:right w:val="nil"/>
            </w:tcBorders>
            <w:shd w:val="clear" w:color="auto" w:fill="FFFFFF" w:themeFill="background1"/>
            <w:noWrap/>
            <w:vAlign w:val="bottom"/>
          </w:tcPr>
          <w:p w:rsidR="00596C49" w:rsidRPr="009979C2" w:rsidRDefault="00596C49" w:rsidP="0017415D">
            <w:pPr>
              <w:jc w:val="center"/>
              <w:rPr>
                <w:rFonts w:ascii="Calibri" w:eastAsia="Times New Roman" w:hAnsi="Calibri" w:cs="Calibri"/>
                <w:color w:val="000000"/>
              </w:rPr>
            </w:pPr>
            <w:r>
              <w:rPr>
                <w:rFonts w:ascii="Calibri" w:eastAsia="Times New Roman" w:hAnsi="Calibri" w:cs="Calibri"/>
                <w:color w:val="000000"/>
              </w:rPr>
              <w:t>23 (0.6%)</w:t>
            </w:r>
          </w:p>
        </w:tc>
      </w:tr>
      <w:tr w:rsidR="00596C49" w:rsidRPr="009979C2" w:rsidTr="00971A2E">
        <w:trPr>
          <w:trHeight w:val="300"/>
          <w:jc w:val="center"/>
        </w:trPr>
        <w:tc>
          <w:tcPr>
            <w:tcW w:w="3301" w:type="dxa"/>
            <w:tcBorders>
              <w:top w:val="nil"/>
              <w:left w:val="nil"/>
              <w:bottom w:val="single" w:sz="4" w:space="0" w:color="auto"/>
              <w:right w:val="nil"/>
            </w:tcBorders>
            <w:shd w:val="clear" w:color="auto" w:fill="FFFFFF" w:themeFill="background1"/>
            <w:noWrap/>
            <w:vAlign w:val="bottom"/>
          </w:tcPr>
          <w:p w:rsidR="00596C49" w:rsidRPr="009979C2" w:rsidRDefault="00596C49" w:rsidP="0017415D">
            <w:pPr>
              <w:jc w:val="center"/>
              <w:rPr>
                <w:rFonts w:ascii="Calibri" w:eastAsia="Times New Roman" w:hAnsi="Calibri" w:cs="Calibri"/>
                <w:color w:val="000000"/>
              </w:rPr>
            </w:pPr>
            <w:r w:rsidRPr="009979C2">
              <w:rPr>
                <w:rFonts w:ascii="Calibri" w:eastAsia="Times New Roman" w:hAnsi="Calibri" w:cs="Calibri"/>
                <w:color w:val="000000"/>
              </w:rPr>
              <w:t>Unspecified</w:t>
            </w:r>
          </w:p>
        </w:tc>
        <w:tc>
          <w:tcPr>
            <w:tcW w:w="1839" w:type="dxa"/>
            <w:tcBorders>
              <w:top w:val="nil"/>
              <w:left w:val="nil"/>
              <w:bottom w:val="single" w:sz="4" w:space="0" w:color="auto"/>
              <w:right w:val="nil"/>
            </w:tcBorders>
            <w:shd w:val="clear" w:color="auto" w:fill="FFFFFF" w:themeFill="background1"/>
            <w:noWrap/>
            <w:vAlign w:val="bottom"/>
          </w:tcPr>
          <w:p w:rsidR="00596C49" w:rsidRPr="009979C2" w:rsidRDefault="00596C49" w:rsidP="0017415D">
            <w:pPr>
              <w:jc w:val="center"/>
              <w:rPr>
                <w:rFonts w:ascii="Calibri" w:eastAsia="Times New Roman" w:hAnsi="Calibri" w:cs="Calibri"/>
                <w:color w:val="000000"/>
              </w:rPr>
            </w:pPr>
            <w:r>
              <w:rPr>
                <w:rFonts w:ascii="Calibri" w:eastAsia="Times New Roman" w:hAnsi="Calibri" w:cs="Calibri"/>
                <w:color w:val="000000"/>
              </w:rPr>
              <w:t>722 (17.1%</w:t>
            </w:r>
            <w:r>
              <w:rPr>
                <w:rFonts w:ascii="Calibri" w:eastAsia="Times New Roman" w:hAnsi="Calibri" w:cs="Calibri"/>
                <w:color w:val="000000"/>
                <w:vertAlign w:val="superscript"/>
              </w:rPr>
              <w:t>3</w:t>
            </w:r>
            <w:r>
              <w:rPr>
                <w:rFonts w:ascii="Calibri" w:eastAsia="Times New Roman" w:hAnsi="Calibri" w:cs="Calibri"/>
                <w:color w:val="000000"/>
              </w:rPr>
              <w:t>)</w:t>
            </w:r>
          </w:p>
        </w:tc>
      </w:tr>
    </w:tbl>
    <w:p w:rsidR="00596C49" w:rsidRDefault="00596C49" w:rsidP="00596C49"/>
    <w:p w:rsidR="00596C49" w:rsidRDefault="00596C49" w:rsidP="00596C49">
      <w:pPr>
        <w:pStyle w:val="ListParagraph"/>
        <w:spacing w:after="0"/>
      </w:pPr>
      <w:r>
        <w:rPr>
          <w:vertAlign w:val="superscript"/>
        </w:rPr>
        <w:t>1</w:t>
      </w:r>
      <w:r>
        <w:t xml:space="preserve"> “All authors” were assumed when notices simply said “The authors wish to retract…”</w:t>
      </w:r>
    </w:p>
    <w:p w:rsidR="00596C49" w:rsidRDefault="00596C49" w:rsidP="00596C49">
      <w:pPr>
        <w:pStyle w:val="ListParagraph"/>
        <w:spacing w:after="0"/>
      </w:pPr>
      <w:r w:rsidRPr="00C5159E">
        <w:rPr>
          <w:vertAlign w:val="superscript"/>
        </w:rPr>
        <w:t>2</w:t>
      </w:r>
      <w:r>
        <w:t xml:space="preserve"> ORI = U.S. Department of Health and Human Services, Office of Research Integrity; NSF = U.S. National Science Foundation; FDA = U.S. Food and Drug Administration</w:t>
      </w:r>
    </w:p>
    <w:p w:rsidR="00596C49" w:rsidRDefault="00596C49" w:rsidP="00596C49">
      <w:pPr>
        <w:pStyle w:val="ListParagraph"/>
        <w:spacing w:after="0"/>
      </w:pPr>
      <w:r>
        <w:rPr>
          <w:vertAlign w:val="superscript"/>
        </w:rPr>
        <w:t xml:space="preserve">3 </w:t>
      </w:r>
      <w:r>
        <w:t>This is the percentage of all 4,232 articles for which retraction notices were consulted.</w:t>
      </w:r>
    </w:p>
    <w:p w:rsidR="006B15BF" w:rsidRDefault="006B15BF"/>
    <w:sectPr w:rsidR="006B15BF" w:rsidSect="006B15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96C49"/>
    <w:rsid w:val="00596C49"/>
    <w:rsid w:val="006B15BF"/>
    <w:rsid w:val="00971A2E"/>
    <w:rsid w:val="00D11D9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C49"/>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C49"/>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808</Characters>
  <Application>Microsoft Office Word</Application>
  <DocSecurity>0</DocSecurity>
  <Lines>6</Lines>
  <Paragraphs>1</Paragraphs>
  <ScaleCrop>false</ScaleCrop>
  <Company>LAWR</Company>
  <LinksUpToDate>false</LinksUpToDate>
  <CharactersWithSpaces>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mgrieneisen</dc:creator>
  <cp:lastModifiedBy>mgrieneisen</cp:lastModifiedBy>
  <cp:revision>2</cp:revision>
  <dcterms:created xsi:type="dcterms:W3CDTF">2012-08-03T20:58:00Z</dcterms:created>
  <dcterms:modified xsi:type="dcterms:W3CDTF">2012-09-10T17:17:00Z</dcterms:modified>
</cp:coreProperties>
</file>