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EF" w:rsidRDefault="00065EEF" w:rsidP="00065EEF">
      <w:pPr>
        <w:spacing w:line="480" w:lineRule="auto"/>
        <w:jc w:val="center"/>
        <w:rPr>
          <w:b/>
        </w:rPr>
      </w:pPr>
      <w:r>
        <w:rPr>
          <w:b/>
        </w:rPr>
        <w:t>S2 Text</w:t>
      </w:r>
    </w:p>
    <w:p w:rsidR="00065EEF" w:rsidRPr="003A1ECF" w:rsidRDefault="00065EEF" w:rsidP="00065EEF">
      <w:pPr>
        <w:spacing w:line="480" w:lineRule="auto"/>
        <w:jc w:val="both"/>
        <w:rPr>
          <w:rFonts w:ascii="Symbol" w:hAnsi="Symbol"/>
          <w:b/>
        </w:rPr>
      </w:pPr>
    </w:p>
    <w:p w:rsidR="00065EEF" w:rsidRPr="008D6C46" w:rsidRDefault="00065EEF" w:rsidP="00957330">
      <w:pPr>
        <w:spacing w:line="480" w:lineRule="auto"/>
        <w:jc w:val="both"/>
        <w:rPr>
          <w:b/>
        </w:rPr>
      </w:pPr>
      <w:r>
        <w:rPr>
          <w:b/>
        </w:rPr>
        <w:t xml:space="preserve">Control of an isolated outbreak of </w:t>
      </w:r>
      <w:proofErr w:type="spellStart"/>
      <w:r>
        <w:rPr>
          <w:b/>
        </w:rPr>
        <w:t>huanglongbing</w:t>
      </w:r>
      <w:proofErr w:type="spellEnd"/>
      <w:r>
        <w:rPr>
          <w:b/>
        </w:rPr>
        <w:t xml:space="preserve"> disease in commercial citrus</w:t>
      </w:r>
    </w:p>
    <w:p w:rsidR="00065EEF" w:rsidRDefault="00065EEF" w:rsidP="00957330">
      <w:pPr>
        <w:spacing w:line="480" w:lineRule="auto"/>
        <w:jc w:val="both"/>
        <w:rPr>
          <w:lang w:eastAsia="en-GB"/>
        </w:rPr>
      </w:pPr>
    </w:p>
    <w:p w:rsidR="00065EEF" w:rsidRDefault="00065EEF" w:rsidP="00957330">
      <w:pPr>
        <w:spacing w:line="480" w:lineRule="auto"/>
        <w:jc w:val="both"/>
        <w:rPr>
          <w:lang w:eastAsia="en-GB"/>
        </w:rPr>
      </w:pPr>
      <w:r>
        <w:rPr>
          <w:lang w:eastAsia="en-GB"/>
        </w:rPr>
        <w:t xml:space="preserve">Recent work by Parry </w:t>
      </w:r>
      <w:r w:rsidRPr="00D41EEF">
        <w:rPr>
          <w:i/>
          <w:lang w:eastAsia="en-GB"/>
        </w:rPr>
        <w:t>et al.</w:t>
      </w:r>
      <w:r>
        <w:rPr>
          <w:lang w:eastAsia="en-GB"/>
        </w:rPr>
        <w:t xml:space="preserve"> </w:t>
      </w:r>
      <w:r>
        <w:rPr>
          <w:lang w:eastAsia="en-GB"/>
        </w:rPr>
        <w:fldChar w:fldCharType="begin" w:fldLock="1"/>
      </w:r>
      <w:r w:rsidR="00587663">
        <w:rPr>
          <w:lang w:eastAsia="en-GB"/>
        </w:rPr>
        <w:instrText>ADDIN CSL_CITATION { "citationItems" : [ { "id" : "ITEM-1", "itemData" : { "ISSN" : "1091-6490", "author" : [ { "dropping-particle" : "", "family" : "Parry", "given" : "M.F.", "non-dropping-particle" : "", "parse-names" : false, "suffix" : "" }, { "dropping-particle" : "", "family" : "Gibson", "given" : "G.J.", "non-dropping-particle" : "", "parse-names" : false, "suffix" : "" }, { "dropping-particle" : "", "family" : "Parnell", "given" : "S.", "non-dropping-particle" : "", "parse-names" : false, "suffix" : "" }, { "dropping-particle" : "", "family" : "Gottwald", "given" : "T.R.", "non-dropping-particle" : "", "parse-names" : false, "suffix" : "" }, { "dropping-particle" : "", "family" : "Irey", "given" : "M.S.", "non-dropping-particle" : "", "parse-names" : false, "suffix" : "" }, { "dropping-particle" : "", "family" : "Gast", "given" : "T.", "non-dropping-particle" : "", "parse-names" : false, "suffix" : "" }, { "dropping-particle" : "", "family" : "Gilligan", "given" : "", "non-dropping-particle" : "", "parse-names" : false, "suffix" : "" } ], "container-title" : "Proceedings of the National Academy of Sciences of the United States of America", "id" : "ITEM-1", "issued" : { "date-parts" : [ [ "2014", "12", "18" ] ] }, "page" : "6258\u20136262", "title" : "Bayesian inference for an emerging arboreal epidemic in the presence of control", "type" : "article-journal", "volume" : "111" }, "uris" : [ "http://www.mendeley.com/documents/?uuid=61296c1f-dbf1-448e-ad7f-c7e601331e2d" ] } ], "mendeley" : { "previouslyFormattedCitation" : "[1]" }, "properties" : { "noteIndex" : 0 }, "schema" : "https://github.com/citation-style-language/schema/raw/master/csl-citation.json" }</w:instrText>
      </w:r>
      <w:r>
        <w:rPr>
          <w:lang w:eastAsia="en-GB"/>
        </w:rPr>
        <w:fldChar w:fldCharType="separate"/>
      </w:r>
      <w:r w:rsidR="00957330" w:rsidRPr="00957330">
        <w:rPr>
          <w:noProof/>
          <w:lang w:eastAsia="en-GB"/>
        </w:rPr>
        <w:t>[1]</w:t>
      </w:r>
      <w:r>
        <w:rPr>
          <w:lang w:eastAsia="en-GB"/>
        </w:rPr>
        <w:fldChar w:fldCharType="end"/>
      </w:r>
      <w:r>
        <w:rPr>
          <w:lang w:eastAsia="en-GB"/>
        </w:rPr>
        <w:t xml:space="preserve"> fitted a series of individual-based compartmental models of the type we use here to a dataset tracking spread of </w:t>
      </w:r>
      <w:proofErr w:type="spellStart"/>
      <w:r>
        <w:rPr>
          <w:lang w:eastAsia="en-GB"/>
        </w:rPr>
        <w:t>huanglongbing</w:t>
      </w:r>
      <w:proofErr w:type="spellEnd"/>
      <w:r>
        <w:rPr>
          <w:lang w:eastAsia="en-GB"/>
        </w:rPr>
        <w:t xml:space="preserve"> (HLB) within a large commercial citrus plantation.  This allows us to test the robustness of our main results to using exactly the model presented in the main text for a different </w:t>
      </w:r>
      <w:proofErr w:type="spellStart"/>
      <w:r>
        <w:rPr>
          <w:lang w:eastAsia="en-GB"/>
        </w:rPr>
        <w:t>pathosystem</w:t>
      </w:r>
      <w:proofErr w:type="spellEnd"/>
      <w:r>
        <w:rPr>
          <w:lang w:eastAsia="en-GB"/>
        </w:rPr>
        <w:t xml:space="preserve"> on a different host topology.</w:t>
      </w:r>
    </w:p>
    <w:p w:rsidR="00065EEF" w:rsidRDefault="00065EEF" w:rsidP="00957330">
      <w:pPr>
        <w:spacing w:line="480" w:lineRule="auto"/>
        <w:jc w:val="both"/>
        <w:rPr>
          <w:lang w:eastAsia="en-GB"/>
        </w:rPr>
      </w:pPr>
    </w:p>
    <w:p w:rsidR="00065EEF" w:rsidRDefault="00065EEF" w:rsidP="00957330">
      <w:pPr>
        <w:spacing w:line="480" w:lineRule="auto"/>
        <w:jc w:val="both"/>
        <w:rPr>
          <w:lang w:eastAsia="en-GB"/>
        </w:rPr>
      </w:pPr>
      <w:r>
        <w:rPr>
          <w:lang w:eastAsia="en-GB"/>
        </w:rPr>
        <w:t xml:space="preserve">For trees that are 10 - 20 years old, Parry </w:t>
      </w:r>
      <w:r w:rsidRPr="00D41EEF">
        <w:rPr>
          <w:i/>
          <w:lang w:eastAsia="en-GB"/>
        </w:rPr>
        <w:t>et al.</w:t>
      </w:r>
      <w:r>
        <w:rPr>
          <w:lang w:eastAsia="en-GB"/>
        </w:rPr>
        <w:t xml:space="preserve"> </w:t>
      </w:r>
      <w:r>
        <w:rPr>
          <w:lang w:eastAsia="en-GB"/>
        </w:rPr>
        <w:fldChar w:fldCharType="begin" w:fldLock="1"/>
      </w:r>
      <w:r w:rsidR="00587663">
        <w:rPr>
          <w:lang w:eastAsia="en-GB"/>
        </w:rPr>
        <w:instrText>ADDIN CSL_CITATION { "citationItems" : [ { "id" : "ITEM-1", "itemData" : { "ISSN" : "1091-6490", "author" : [ { "dropping-particle" : "", "family" : "Parry", "given" : "M.F.", "non-dropping-particle" : "", "parse-names" : false, "suffix" : "" }, { "dropping-particle" : "", "family" : "Gibson", "given" : "G.J.", "non-dropping-particle" : "", "parse-names" : false, "suffix" : "" }, { "dropping-particle" : "", "family" : "Parnell", "given" : "S.", "non-dropping-particle" : "", "parse-names" : false, "suffix" : "" }, { "dropping-particle" : "", "family" : "Gottwald", "given" : "T.R.", "non-dropping-particle" : "", "parse-names" : false, "suffix" : "" }, { "dropping-particle" : "", "family" : "Irey", "given" : "M.S.", "non-dropping-particle" : "", "parse-names" : false, "suffix" : "" }, { "dropping-particle" : "", "family" : "Gast", "given" : "T.", "non-dropping-particle" : "", "parse-names" : false, "suffix" : "" }, { "dropping-particle" : "", "family" : "Gilligan", "given" : "", "non-dropping-particle" : "", "parse-names" : false, "suffix" : "" } ], "container-title" : "Proceedings of the National Academy of Sciences of the United States of America", "id" : "ITEM-1", "issued" : { "date-parts" : [ [ "2014", "12", "18" ] ] }, "page" : "6258\u20136262", "title" : "Bayesian inference for an emerging arboreal epidemic in the presence of control", "type" : "article-journal", "volume" : "111" }, "uris" : [ "http://www.mendeley.com/documents/?uuid=61296c1f-dbf1-448e-ad7f-c7e601331e2d" ] } ], "mendeley" : { "previouslyFormattedCitation" : "[1]" }, "properties" : { "noteIndex" : 0 }, "schema" : "https://github.com/citation-style-language/schema/raw/master/csl-citation.json" }</w:instrText>
      </w:r>
      <w:r>
        <w:rPr>
          <w:lang w:eastAsia="en-GB"/>
        </w:rPr>
        <w:fldChar w:fldCharType="separate"/>
      </w:r>
      <w:r w:rsidR="00957330" w:rsidRPr="00957330">
        <w:rPr>
          <w:noProof/>
          <w:lang w:eastAsia="en-GB"/>
        </w:rPr>
        <w:t>[1]</w:t>
      </w:r>
      <w:r>
        <w:rPr>
          <w:lang w:eastAsia="en-GB"/>
        </w:rPr>
        <w:fldChar w:fldCharType="end"/>
      </w:r>
      <w:r>
        <w:rPr>
          <w:lang w:eastAsia="en-GB"/>
        </w:rPr>
        <w:t xml:space="preserve"> state the latent period is approximately 0.8 years, and the cryptic period  approximately 0.25 years. We therefore set </w:t>
      </w:r>
      <w:r w:rsidR="003A1ECF" w:rsidRPr="003A1ECF">
        <w:rPr>
          <w:position w:val="-10"/>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6" o:title=""/>
          </v:shape>
          <o:OLEObject Type="Embed" ProgID="Equation.DSMT4" ShapeID="_x0000_i1025" DrawAspect="Content" ObjectID="_1487143866" r:id="rId7"/>
        </w:object>
      </w:r>
      <w:r w:rsidR="003A1ECF">
        <w:t xml:space="preserve"> </w:t>
      </w:r>
      <w:r>
        <w:t xml:space="preserve">= 292d and </w:t>
      </w:r>
      <w:r w:rsidR="003A1ECF" w:rsidRPr="003A1ECF">
        <w:rPr>
          <w:position w:val="-8"/>
        </w:rPr>
        <w:object w:dxaOrig="499" w:dyaOrig="300">
          <v:shape id="_x0000_i1026" type="#_x0000_t75" style="width:24.75pt;height:15pt" o:ole="">
            <v:imagedata r:id="rId8" o:title=""/>
          </v:shape>
          <o:OLEObject Type="Embed" ProgID="Equation.DSMT4" ShapeID="_x0000_i1026" DrawAspect="Content" ObjectID="_1487143867" r:id="rId9"/>
        </w:object>
      </w:r>
      <w:r w:rsidR="003A1ECF">
        <w:t xml:space="preserve"> </w:t>
      </w:r>
      <w:r>
        <w:t xml:space="preserve">= 90d in our model.  They found the scale of dispersal and rate of infection differed across the plantation between citrus blocks on a block-by-block basis, largely driven by the age of the trees within each block (their Figs. 3 and 4).  Taking a representative block of 10-20 year old trees leads to a representative dispersal scale parameter of </w:t>
      </w:r>
      <w:r w:rsidR="003A1ECF" w:rsidRPr="003A1ECF">
        <w:rPr>
          <w:position w:val="-6"/>
        </w:rPr>
        <w:object w:dxaOrig="220" w:dyaOrig="220">
          <v:shape id="_x0000_i1027" type="#_x0000_t75" style="width:11.25pt;height:11.25pt" o:ole="">
            <v:imagedata r:id="rId10" o:title=""/>
          </v:shape>
          <o:OLEObject Type="Embed" ProgID="Equation.DSMT4" ShapeID="_x0000_i1027" DrawAspect="Content" ObjectID="_1487143868" r:id="rId11"/>
        </w:object>
      </w:r>
      <w:r>
        <w:rPr>
          <w:lang w:eastAsia="en-GB"/>
        </w:rPr>
        <w:t xml:space="preserve"> = 10m (note their scale parameter is the inverse of ours), and, after accounting for their different normalisation of the dispersal kernel, a rate of infection </w:t>
      </w:r>
      <w:r w:rsidR="003A1ECF" w:rsidRPr="003A1ECF">
        <w:rPr>
          <w:rFonts w:ascii="Symbol" w:hAnsi="Symbol"/>
          <w:position w:val="-10"/>
          <w:lang w:eastAsia="en-GB"/>
        </w:rPr>
        <w:object w:dxaOrig="200" w:dyaOrig="320">
          <v:shape id="_x0000_i1028" type="#_x0000_t75" style="width:9.75pt;height:15.75pt" o:ole="">
            <v:imagedata r:id="rId12" o:title=""/>
          </v:shape>
          <o:OLEObject Type="Embed" ProgID="Equation.DSMT4" ShapeID="_x0000_i1028" DrawAspect="Content" ObjectID="_1487143869" r:id="rId13"/>
        </w:object>
      </w:r>
      <w:r w:rsidR="003A1ECF">
        <w:rPr>
          <w:rFonts w:ascii="Symbol" w:hAnsi="Symbol"/>
          <w:lang w:eastAsia="en-GB"/>
        </w:rPr>
        <w:t></w:t>
      </w:r>
      <w:r>
        <w:rPr>
          <w:lang w:eastAsia="en-GB"/>
        </w:rPr>
        <w:t>= 0.085d</w:t>
      </w:r>
      <w:r w:rsidRPr="00D41EEF">
        <w:rPr>
          <w:vertAlign w:val="superscript"/>
          <w:lang w:eastAsia="en-GB"/>
        </w:rPr>
        <w:t>-1</w:t>
      </w:r>
      <w:r>
        <w:rPr>
          <w:lang w:eastAsia="en-GB"/>
        </w:rPr>
        <w:t>.</w:t>
      </w:r>
    </w:p>
    <w:p w:rsidR="00065EEF" w:rsidRDefault="00065EEF" w:rsidP="00957330">
      <w:pPr>
        <w:spacing w:line="480" w:lineRule="auto"/>
        <w:jc w:val="both"/>
        <w:rPr>
          <w:lang w:eastAsia="en-GB"/>
        </w:rPr>
      </w:pPr>
    </w:p>
    <w:p w:rsidR="00065EEF" w:rsidRDefault="00065EEF" w:rsidP="00957330">
      <w:pPr>
        <w:spacing w:line="480" w:lineRule="auto"/>
        <w:jc w:val="both"/>
        <w:rPr>
          <w:lang w:eastAsia="en-GB"/>
        </w:rPr>
      </w:pPr>
      <w:r>
        <w:rPr>
          <w:lang w:eastAsia="en-GB"/>
        </w:rPr>
        <w:t xml:space="preserve">As in the main text, we consider an isolated outbreak far from any ongoing epidemic, for which there is no primary infection (i.e. </w:t>
      </w:r>
      <w:r w:rsidR="003A1ECF" w:rsidRPr="003A1ECF">
        <w:rPr>
          <w:rFonts w:ascii="Symbol" w:hAnsi="Symbol"/>
          <w:position w:val="-6"/>
          <w:lang w:eastAsia="en-GB"/>
        </w:rPr>
        <w:object w:dxaOrig="180" w:dyaOrig="220">
          <v:shape id="_x0000_i1029" type="#_x0000_t75" style="width:9pt;height:11.25pt" o:ole="">
            <v:imagedata r:id="rId14" o:title=""/>
          </v:shape>
          <o:OLEObject Type="Embed" ProgID="Equation.DSMT4" ShapeID="_x0000_i1029" DrawAspect="Content" ObjectID="_1487143870" r:id="rId15"/>
        </w:object>
      </w:r>
      <w:r w:rsidR="003A1ECF">
        <w:rPr>
          <w:rFonts w:ascii="Symbol" w:hAnsi="Symbol"/>
          <w:lang w:eastAsia="en-GB"/>
        </w:rPr>
        <w:t></w:t>
      </w:r>
      <w:r>
        <w:rPr>
          <w:lang w:eastAsia="en-GB"/>
        </w:rPr>
        <w:t xml:space="preserve">= 0 in our model).  By default, and to reflect the more intensive control of a managed citrus grove, we also assume that </w:t>
      </w:r>
      <w:proofErr w:type="spellStart"/>
      <w:r>
        <w:rPr>
          <w:lang w:eastAsia="en-GB"/>
        </w:rPr>
        <w:t>i</w:t>
      </w:r>
      <w:proofErr w:type="spellEnd"/>
      <w:r>
        <w:rPr>
          <w:lang w:eastAsia="en-GB"/>
        </w:rPr>
        <w:t xml:space="preserve">) the citrus grove is surveyed every month (i.e. </w:t>
      </w:r>
      <w:proofErr w:type="spellStart"/>
      <w:r w:rsidRPr="00D41EEF">
        <w:rPr>
          <w:i/>
          <w:lang w:eastAsia="en-GB"/>
        </w:rPr>
        <w:t>T</w:t>
      </w:r>
      <w:r w:rsidRPr="00D41EEF">
        <w:rPr>
          <w:i/>
          <w:vertAlign w:val="subscript"/>
          <w:lang w:eastAsia="en-GB"/>
        </w:rPr>
        <w:t>s</w:t>
      </w:r>
      <w:proofErr w:type="spellEnd"/>
      <w:r>
        <w:rPr>
          <w:lang w:eastAsia="en-GB"/>
        </w:rPr>
        <w:t xml:space="preserve"> = 30d), ii) there is no delay between detection and removal of symptomatic trees (i.e. </w:t>
      </w:r>
      <w:r w:rsidRPr="00D41EEF">
        <w:rPr>
          <w:i/>
          <w:lang w:eastAsia="en-GB"/>
        </w:rPr>
        <w:t>T</w:t>
      </w:r>
      <w:r w:rsidRPr="00D41EEF">
        <w:rPr>
          <w:i/>
          <w:vertAlign w:val="subscript"/>
          <w:lang w:eastAsia="en-GB"/>
        </w:rPr>
        <w:t>c</w:t>
      </w:r>
      <w:r>
        <w:rPr>
          <w:lang w:eastAsia="en-GB"/>
        </w:rPr>
        <w:t xml:space="preserve"> = 0d). The lack of delay before control can be applied is more realistic for commercial citrus: in the main paper we </w:t>
      </w:r>
      <w:r>
        <w:rPr>
          <w:lang w:eastAsia="en-GB"/>
        </w:rPr>
        <w:lastRenderedPageBreak/>
        <w:t xml:space="preserve">took </w:t>
      </w:r>
      <w:r w:rsidRPr="00D41EEF">
        <w:rPr>
          <w:i/>
          <w:lang w:eastAsia="en-GB"/>
        </w:rPr>
        <w:t>T</w:t>
      </w:r>
      <w:r w:rsidRPr="00D41EEF">
        <w:rPr>
          <w:i/>
          <w:vertAlign w:val="subscript"/>
          <w:lang w:eastAsia="en-GB"/>
        </w:rPr>
        <w:t>c</w:t>
      </w:r>
      <w:r>
        <w:rPr>
          <w:lang w:eastAsia="en-GB"/>
        </w:rPr>
        <w:t xml:space="preserve"> = 60d for the citrus canker example, but this was to allow for legal challenges by homeowners. All other parameters were set to the values in the main text (</w:t>
      </w:r>
      <w:r w:rsidRPr="00D41EEF">
        <w:rPr>
          <w:i/>
          <w:lang w:eastAsia="en-GB"/>
        </w:rPr>
        <w:t>cf.</w:t>
      </w:r>
      <w:r>
        <w:rPr>
          <w:lang w:eastAsia="en-GB"/>
        </w:rPr>
        <w:t xml:space="preserve"> Table 1).  Note that these analyses can therefore be recreated by the user of our front-end interface (</w:t>
      </w:r>
      <w:r w:rsidRPr="00D51DF4">
        <w:rPr>
          <w:i/>
          <w:lang w:eastAsia="en-GB"/>
        </w:rPr>
        <w:t>cf.</w:t>
      </w:r>
      <w:r>
        <w:rPr>
          <w:lang w:eastAsia="en-GB"/>
        </w:rPr>
        <w:t xml:space="preserve"> S1</w:t>
      </w:r>
      <w:r w:rsidRPr="0057023F">
        <w:rPr>
          <w:lang w:eastAsia="en-GB"/>
        </w:rPr>
        <w:t xml:space="preserve"> </w:t>
      </w:r>
      <w:r>
        <w:rPr>
          <w:lang w:eastAsia="en-GB"/>
        </w:rPr>
        <w:t>Fig., which shows exactly which parameters must be changed via our interface). We note that the control we consider, i.e. removal of trees surrounding known infection, is not routinely practiced for HLB control in commercial citrus groves, but we consider it here to illustrate the flexibility of our models, methods and analyses for a different system.</w:t>
      </w:r>
    </w:p>
    <w:p w:rsidR="00065EEF" w:rsidRDefault="00065EEF" w:rsidP="00957330">
      <w:pPr>
        <w:spacing w:line="480" w:lineRule="auto"/>
        <w:jc w:val="both"/>
        <w:rPr>
          <w:lang w:eastAsia="en-GB"/>
        </w:rPr>
      </w:pPr>
    </w:p>
    <w:p w:rsidR="00065EEF" w:rsidRDefault="00065EEF" w:rsidP="00957330">
      <w:pPr>
        <w:spacing w:line="480" w:lineRule="auto"/>
        <w:jc w:val="both"/>
        <w:rPr>
          <w:lang w:eastAsia="en-GB"/>
        </w:rPr>
      </w:pPr>
      <w:r>
        <w:rPr>
          <w:lang w:eastAsia="en-GB"/>
        </w:rPr>
        <w:t xml:space="preserve">We recreated a selection of our analyses for the HLB system.  It was still possible to choose an optimal cull radius which minimises the epidemic impact (S2a Fig.; </w:t>
      </w:r>
      <w:r w:rsidRPr="00D41EEF">
        <w:rPr>
          <w:i/>
          <w:lang w:eastAsia="en-GB"/>
        </w:rPr>
        <w:t>cf.</w:t>
      </w:r>
      <w:r>
        <w:rPr>
          <w:lang w:eastAsia="en-GB"/>
        </w:rPr>
        <w:t xml:space="preserve"> Fig. 2a in the main text), although the exact detail of the optimum radius depends on the level of risk aversion (S2b Fig.; </w:t>
      </w:r>
      <w:r w:rsidRPr="00D41EEF">
        <w:rPr>
          <w:i/>
          <w:lang w:eastAsia="en-GB"/>
        </w:rPr>
        <w:t>cf.</w:t>
      </w:r>
      <w:r>
        <w:rPr>
          <w:lang w:eastAsia="en-GB"/>
        </w:rPr>
        <w:t xml:space="preserve"> Fig. 2b in the main text).  The responses of the optimum radius and the epidemic size at optimum radius to changes in the parameters were similar to before (S3</w:t>
      </w:r>
      <w:r w:rsidRPr="0057023F">
        <w:rPr>
          <w:lang w:eastAsia="en-GB"/>
        </w:rPr>
        <w:t xml:space="preserve"> </w:t>
      </w:r>
      <w:r>
        <w:rPr>
          <w:lang w:eastAsia="en-GB"/>
        </w:rPr>
        <w:t xml:space="preserve">Fig.; </w:t>
      </w:r>
      <w:r w:rsidRPr="00D41EEF">
        <w:rPr>
          <w:i/>
          <w:lang w:eastAsia="en-GB"/>
        </w:rPr>
        <w:t>cf.</w:t>
      </w:r>
      <w:r>
        <w:rPr>
          <w:lang w:eastAsia="en-GB"/>
        </w:rPr>
        <w:t xml:space="preserve"> Fig. 3 in the main text).  The qualitative results presented in the main text are therefore robust to using our model and methods of analyses on a different </w:t>
      </w:r>
      <w:proofErr w:type="spellStart"/>
      <w:r>
        <w:rPr>
          <w:lang w:eastAsia="en-GB"/>
        </w:rPr>
        <w:t>pathosystem</w:t>
      </w:r>
      <w:proofErr w:type="spellEnd"/>
      <w:r>
        <w:rPr>
          <w:lang w:eastAsia="en-GB"/>
        </w:rPr>
        <w:t>, here for a disease that is vectored by insects.</w:t>
      </w:r>
    </w:p>
    <w:p w:rsidR="00957330" w:rsidRDefault="00957330" w:rsidP="00957330">
      <w:pPr>
        <w:spacing w:line="480" w:lineRule="auto"/>
        <w:jc w:val="both"/>
        <w:rPr>
          <w:b/>
          <w:lang w:eastAsia="en-GB"/>
        </w:rPr>
      </w:pPr>
    </w:p>
    <w:p w:rsidR="00957330" w:rsidRPr="00957330" w:rsidRDefault="00957330" w:rsidP="00957330">
      <w:pPr>
        <w:spacing w:line="480" w:lineRule="auto"/>
        <w:jc w:val="both"/>
        <w:rPr>
          <w:b/>
          <w:lang w:eastAsia="en-GB"/>
        </w:rPr>
      </w:pPr>
      <w:r w:rsidRPr="00957330">
        <w:rPr>
          <w:b/>
          <w:lang w:eastAsia="en-GB"/>
        </w:rPr>
        <w:t>References</w:t>
      </w:r>
    </w:p>
    <w:p w:rsidR="00587663" w:rsidRPr="00587663" w:rsidRDefault="00957330">
      <w:pPr>
        <w:pStyle w:val="NormalWeb"/>
        <w:ind w:left="640" w:hanging="640"/>
        <w:divId w:val="1822967576"/>
        <w:rPr>
          <w:rFonts w:ascii="Calibri" w:hAnsi="Calibri"/>
          <w:noProof/>
          <w:sz w:val="22"/>
        </w:rPr>
      </w:pPr>
      <w:r>
        <w:fldChar w:fldCharType="begin" w:fldLock="1"/>
      </w:r>
      <w:r>
        <w:instrText xml:space="preserve">ADDIN Mendeley Bibliography CSL_BIBLIOGRAPHY </w:instrText>
      </w:r>
      <w:r>
        <w:fldChar w:fldCharType="separate"/>
      </w:r>
      <w:bookmarkStart w:id="0" w:name="_GoBack"/>
      <w:bookmarkEnd w:id="0"/>
      <w:r w:rsidR="00587663" w:rsidRPr="00587663">
        <w:rPr>
          <w:rFonts w:ascii="Calibri" w:hAnsi="Calibri"/>
          <w:noProof/>
          <w:sz w:val="22"/>
        </w:rPr>
        <w:t xml:space="preserve">1. </w:t>
      </w:r>
      <w:r w:rsidR="00587663" w:rsidRPr="00587663">
        <w:rPr>
          <w:rFonts w:ascii="Calibri" w:hAnsi="Calibri"/>
          <w:noProof/>
          <w:sz w:val="22"/>
        </w:rPr>
        <w:tab/>
        <w:t xml:space="preserve">Parry MF, Gibson GJ, Parnell S, Gottwald TR, Irey MS, Gast T, et al. Bayesian inference for an emerging arboreal epidemic in the presence of control. Proc Natl Acad Sci U S A. 2014;111: 6258–6262. </w:t>
      </w:r>
    </w:p>
    <w:p w:rsidR="00957330" w:rsidRDefault="00957330" w:rsidP="00587663">
      <w:pPr>
        <w:pStyle w:val="NormalWeb"/>
        <w:ind w:left="640" w:hanging="640"/>
      </w:pPr>
      <w:r>
        <w:fldChar w:fldCharType="end"/>
      </w:r>
    </w:p>
    <w:sectPr w:rsidR="00957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0C"/>
    <w:rsid w:val="00065EEF"/>
    <w:rsid w:val="003A1ECF"/>
    <w:rsid w:val="0053730C"/>
    <w:rsid w:val="00587663"/>
    <w:rsid w:val="00816ACF"/>
    <w:rsid w:val="00957330"/>
    <w:rsid w:val="00B10B3E"/>
    <w:rsid w:val="00CC2A7B"/>
    <w:rsid w:val="00E1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33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33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102">
      <w:bodyDiv w:val="1"/>
      <w:marLeft w:val="0"/>
      <w:marRight w:val="0"/>
      <w:marTop w:val="0"/>
      <w:marBottom w:val="0"/>
      <w:divBdr>
        <w:top w:val="none" w:sz="0" w:space="0" w:color="auto"/>
        <w:left w:val="none" w:sz="0" w:space="0" w:color="auto"/>
        <w:bottom w:val="none" w:sz="0" w:space="0" w:color="auto"/>
        <w:right w:val="none" w:sz="0" w:space="0" w:color="auto"/>
      </w:divBdr>
    </w:div>
    <w:div w:id="1822967576">
      <w:bodyDiv w:val="1"/>
      <w:marLeft w:val="0"/>
      <w:marRight w:val="0"/>
      <w:marTop w:val="0"/>
      <w:marBottom w:val="0"/>
      <w:divBdr>
        <w:top w:val="none" w:sz="0" w:space="0" w:color="auto"/>
        <w:left w:val="none" w:sz="0" w:space="0" w:color="auto"/>
        <w:bottom w:val="none" w:sz="0" w:space="0" w:color="auto"/>
        <w:right w:val="none" w:sz="0" w:space="0" w:color="auto"/>
      </w:divBdr>
    </w:div>
    <w:div w:id="1883126756">
      <w:bodyDiv w:val="1"/>
      <w:marLeft w:val="0"/>
      <w:marRight w:val="0"/>
      <w:marTop w:val="0"/>
      <w:marBottom w:val="0"/>
      <w:divBdr>
        <w:top w:val="none" w:sz="0" w:space="0" w:color="auto"/>
        <w:left w:val="none" w:sz="0" w:space="0" w:color="auto"/>
        <w:bottom w:val="none" w:sz="0" w:space="0" w:color="auto"/>
        <w:right w:val="none" w:sz="0" w:space="0" w:color="auto"/>
      </w:divBdr>
    </w:div>
    <w:div w:id="19364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4E8E-ADDF-4077-B756-5A25D0D7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nik</cp:lastModifiedBy>
  <cp:revision>5</cp:revision>
  <dcterms:created xsi:type="dcterms:W3CDTF">2015-03-06T08:24:00Z</dcterms:created>
  <dcterms:modified xsi:type="dcterms:W3CDTF">2015-03-06T09:47:00Z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http://csl.mendeley.com/styles/5968353/plos-2</vt:lpwstr>
  </property>
  <property fmtid="{D5CDD505-2E9C-101B-9397-08002B2CF9AE}" pid="3" name="Mendeley Document_1">
    <vt:lpwstr>True</vt:lpwstr>
  </property>
  <property fmtid="{D5CDD505-2E9C-101B-9397-08002B2CF9AE}" pid="4" name="Mendeley User Name_1">
    <vt:lpwstr>njc1001@cam.ac.uk@www.mendeley.com</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http://www.zotero.org/styles/nature-neuroscience-brief-communications</vt:lpwstr>
  </property>
  <property fmtid="{D5CDD505-2E9C-101B-9397-08002B2CF9AE}" pid="12" name="Mendeley Recent Style Name 3_1">
    <vt:lpwstr>Nature Neuroscience (brief communications)</vt:lpwstr>
  </property>
  <property fmtid="{D5CDD505-2E9C-101B-9397-08002B2CF9AE}" pid="13" name="Mendeley Recent Style Id 4_1">
    <vt:lpwstr>http://www.zotero.org/styles/plos-computational-biology</vt:lpwstr>
  </property>
  <property fmtid="{D5CDD505-2E9C-101B-9397-08002B2CF9AE}" pid="14" name="Mendeley Recent Style Name 4_1">
    <vt:lpwstr>PLOS Computational Biology</vt:lpwstr>
  </property>
  <property fmtid="{D5CDD505-2E9C-101B-9397-08002B2CF9AE}" pid="15" name="Mendeley Recent Style Id 5_1">
    <vt:lpwstr>http://www.zotero.org/styles/plos-one</vt:lpwstr>
  </property>
  <property fmtid="{D5CDD505-2E9C-101B-9397-08002B2CF9AE}" pid="16" name="Mendeley Recent Style Name 5_1">
    <vt:lpwstr>PLOS ONE</vt:lpwstr>
  </property>
  <property fmtid="{D5CDD505-2E9C-101B-9397-08002B2CF9AE}" pid="17" name="Mendeley Recent Style Id 6_1">
    <vt:lpwstr>http://www.zotero.org/styles/pnas</vt:lpwstr>
  </property>
  <property fmtid="{D5CDD505-2E9C-101B-9397-08002B2CF9AE}" pid="18" name="Mendeley Recent Style Name 6_1">
    <vt:lpwstr>Proceedings of the National Academy of Sciences of the United States of America</vt:lpwstr>
  </property>
  <property fmtid="{D5CDD505-2E9C-101B-9397-08002B2CF9AE}" pid="19" name="Mendeley Recent Style Id 7_1">
    <vt:lpwstr>http://www.zotero.org/styles/proc-roy-soc-b</vt:lpwstr>
  </property>
  <property fmtid="{D5CDD505-2E9C-101B-9397-08002B2CF9AE}" pid="20" name="Mendeley Recent Style Name 7_1">
    <vt:lpwstr>Proceedings of the Royal Society B</vt:lpwstr>
  </property>
  <property fmtid="{D5CDD505-2E9C-101B-9397-08002B2CF9AE}" pid="21" name="Mendeley Recent Style Id 8_1">
    <vt:lpwstr>http://csl.mendeley.com/styles/5968353/plos-2</vt:lpwstr>
  </property>
  <property fmtid="{D5CDD505-2E9C-101B-9397-08002B2CF9AE}" pid="22" name="Mendeley Recent Style Name 8_1">
    <vt:lpwstr>Public Library of Science - Nik Cunniffe</vt:lpwstr>
  </property>
  <property fmtid="{D5CDD505-2E9C-101B-9397-08002B2CF9AE}" pid="23" name="Mendeley Recent Style Id 9_1">
    <vt:lpwstr>http://www.zotero.org/styles/science</vt:lpwstr>
  </property>
  <property fmtid="{D5CDD505-2E9C-101B-9397-08002B2CF9AE}" pid="24" name="Mendeley Recent Style Name 9_1">
    <vt:lpwstr>Science</vt:lpwstr>
  </property>
  <property fmtid="{D5CDD505-2E9C-101B-9397-08002B2CF9AE}" pid="25" name="MTWinEqns">
    <vt:bool>true</vt:bool>
  </property>
</Properties>
</file>