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5BB" w:rsidRDefault="00E315BB" w:rsidP="00E315BB">
      <w:pPr>
        <w:pStyle w:val="MDPI12title"/>
        <w:rPr>
          <w:color w:val="auto"/>
          <w:lang w:eastAsia="en-US"/>
        </w:rPr>
      </w:pPr>
      <w:bookmarkStart w:id="0" w:name="_GoBack"/>
      <w:r>
        <w:t>P-curve disclosure table</w:t>
      </w:r>
    </w:p>
    <w:bookmarkEnd w:id="0"/>
    <w:p w:rsidR="00E315BB" w:rsidRDefault="00E315BB" w:rsidP="007C019C">
      <w:pPr>
        <w:pStyle w:val="MDPI21heading1"/>
      </w:pPr>
      <w:proofErr w:type="spellStart"/>
      <w:r>
        <w:t>Thornhill</w:t>
      </w:r>
      <w:proofErr w:type="spellEnd"/>
      <w:r>
        <w:t xml:space="preserve"> &amp; </w:t>
      </w:r>
      <w:proofErr w:type="spellStart"/>
      <w:r>
        <w:t>Gangestad</w:t>
      </w:r>
      <w:proofErr w:type="spellEnd"/>
      <w:r>
        <w:t xml:space="preserve"> (1994)</w:t>
      </w:r>
    </w:p>
    <w:p w:rsidR="00E315BB" w:rsidRDefault="00E315BB" w:rsidP="007C019C">
      <w:pPr>
        <w:pStyle w:val="MDPI21heading1"/>
      </w:pPr>
      <w:r>
        <w:t>Predictions:</w:t>
      </w:r>
    </w:p>
    <w:p w:rsidR="00E315BB" w:rsidRDefault="00E315BB" w:rsidP="00E315BB">
      <w:pPr>
        <w:pStyle w:val="MDPI31text"/>
      </w:pPr>
      <w:r>
        <w:t xml:space="preserve">“In the present study, we examined the relations of FA with self-reported number of lifetime </w:t>
      </w:r>
      <w:proofErr w:type="spellStart"/>
      <w:r>
        <w:t>copulatory</w:t>
      </w:r>
      <w:proofErr w:type="spellEnd"/>
      <w:r>
        <w:t xml:space="preserve"> partners and age at first sexual intercourse within a U.S. student population in an attempt to determine whether FA affects human mating patterns that may directly relate to the component of human sexual selection involving mate number” (pp. 296-297).</w:t>
      </w:r>
    </w:p>
    <w:p w:rsidR="00E315BB" w:rsidRDefault="00E315BB" w:rsidP="00E315BB">
      <w:pPr>
        <w:pStyle w:val="MDPI21heading1"/>
      </w:pPr>
      <w:r>
        <w:t>Primary Effects:</w:t>
      </w:r>
    </w:p>
    <w:p w:rsidR="00E315BB" w:rsidRDefault="00E315BB" w:rsidP="00E315BB">
      <w:pPr>
        <w:pStyle w:val="MDPI31text"/>
      </w:pPr>
      <w:r>
        <w:t xml:space="preserve">Correlations between FA and number of lifetime partners and physical attractiveness with age and age-squared </w:t>
      </w:r>
      <w:proofErr w:type="spellStart"/>
      <w:r>
        <w:t>partialled</w:t>
      </w:r>
      <w:proofErr w:type="spellEnd"/>
      <w:r>
        <w:t xml:space="preserve"> out.</w:t>
      </w:r>
    </w:p>
    <w:p w:rsidR="00E315BB" w:rsidRDefault="00E315BB" w:rsidP="00E315BB">
      <w:pPr>
        <w:pStyle w:val="MDPI21heading1"/>
      </w:pPr>
      <w:r>
        <w:t>Results:</w:t>
      </w:r>
    </w:p>
    <w:p w:rsidR="00E315BB" w:rsidRPr="007C019C" w:rsidRDefault="00E315BB" w:rsidP="007C019C">
      <w:pPr>
        <w:pStyle w:val="MDPI31text"/>
      </w:pPr>
      <w:r>
        <w:t>“With the effects of age and age-squared statistically controlled, the correlation between FAI and lifetime number of partners wa</w:t>
      </w:r>
      <w:r w:rsidR="007C019C">
        <w:t>s significant and negative for</w:t>
      </w:r>
      <w:r>
        <w:t xml:space="preserve"> men (- .32, p &lt; .02, n = 59)” (p. 299).</w:t>
      </w:r>
    </w:p>
    <w:p w:rsidR="00E315BB" w:rsidRDefault="00E315BB" w:rsidP="007C019C">
      <w:pPr>
        <w:pStyle w:val="MDPI31text"/>
      </w:pPr>
      <w:r>
        <w:t xml:space="preserve">Recalculated </w:t>
      </w:r>
      <w:r>
        <w:rPr>
          <w:i/>
        </w:rPr>
        <w:t>p</w:t>
      </w:r>
      <w:r>
        <w:t xml:space="preserve"> = .0152, </w:t>
      </w:r>
      <w:proofErr w:type="spellStart"/>
      <w:proofErr w:type="gramStart"/>
      <w:r>
        <w:rPr>
          <w:i/>
        </w:rPr>
        <w:t>df</w:t>
      </w:r>
      <w:proofErr w:type="spellEnd"/>
      <w:proofErr w:type="gramEnd"/>
      <w:r>
        <w:rPr>
          <w:i/>
        </w:rPr>
        <w:t xml:space="preserve"> </w:t>
      </w:r>
      <w:r>
        <w:t>= 55</w:t>
      </w:r>
    </w:p>
    <w:p w:rsidR="00E315BB" w:rsidRDefault="00E315BB" w:rsidP="007C019C">
      <w:pPr>
        <w:pStyle w:val="MDPI31text"/>
      </w:pPr>
      <w:r>
        <w:t>“Consistent with previous research (</w:t>
      </w:r>
      <w:proofErr w:type="spellStart"/>
      <w:r>
        <w:t>Gangestad</w:t>
      </w:r>
      <w:proofErr w:type="spellEnd"/>
      <w:r>
        <w:t xml:space="preserve"> et al., 1994), men's facial attractiveness correlated significantly with FAI with age and age-squared </w:t>
      </w:r>
      <w:proofErr w:type="spellStart"/>
      <w:r>
        <w:t>partialed</w:t>
      </w:r>
      <w:proofErr w:type="spellEnd"/>
      <w:r>
        <w:t xml:space="preserve"> out </w:t>
      </w:r>
      <w:proofErr w:type="gramStart"/>
      <w:r>
        <w:t>( -</w:t>
      </w:r>
      <w:proofErr w:type="gramEnd"/>
      <w:r>
        <w:t xml:space="preserve"> .27, p &lt; .05, n = 60)” (pp. 299-300).</w:t>
      </w:r>
    </w:p>
    <w:p w:rsidR="00E315BB" w:rsidRDefault="00E315BB" w:rsidP="007C019C">
      <w:pPr>
        <w:pStyle w:val="MDPI31text"/>
      </w:pPr>
      <w:r>
        <w:t>Recalculated</w:t>
      </w:r>
      <w:r>
        <w:rPr>
          <w:i/>
        </w:rPr>
        <w:t xml:space="preserve"> p</w:t>
      </w:r>
      <w:r>
        <w:t xml:space="preserve"> = .0404, </w:t>
      </w:r>
      <w:proofErr w:type="spellStart"/>
      <w:proofErr w:type="gramStart"/>
      <w:r>
        <w:rPr>
          <w:i/>
        </w:rPr>
        <w:t>df</w:t>
      </w:r>
      <w:proofErr w:type="spellEnd"/>
      <w:proofErr w:type="gramEnd"/>
      <w:r>
        <w:t xml:space="preserve"> = 56.</w:t>
      </w:r>
    </w:p>
    <w:p w:rsidR="00E315BB" w:rsidRDefault="00E315BB" w:rsidP="00E315BB">
      <w:pPr>
        <w:pStyle w:val="MDPI21heading1"/>
      </w:pPr>
      <w:r>
        <w:t xml:space="preserve">Note. </w:t>
      </w:r>
    </w:p>
    <w:p w:rsidR="00E315BB" w:rsidRPr="00E315BB" w:rsidRDefault="00E315BB" w:rsidP="007C019C">
      <w:pPr>
        <w:pStyle w:val="MDPI31text"/>
      </w:pPr>
      <w:r>
        <w:t xml:space="preserve">The association with number of partners was the first one reported in the article and, hence, we report that one in our main analysis (e.g., </w:t>
      </w:r>
      <w:proofErr w:type="spellStart"/>
      <w:r>
        <w:t>Simonsohn</w:t>
      </w:r>
      <w:proofErr w:type="spellEnd"/>
      <w:r>
        <w:t xml:space="preserve"> 2014a). In robustness analyses, we substituted the association with facial attractiveness.</w:t>
      </w:r>
    </w:p>
    <w:p w:rsidR="00E315BB" w:rsidRDefault="00E315BB" w:rsidP="007C019C">
      <w:pPr>
        <w:pStyle w:val="MDPI21heading1"/>
        <w:rPr>
          <w:rFonts w:cstheme="minorBidi"/>
        </w:rPr>
      </w:pPr>
      <w:proofErr w:type="spellStart"/>
      <w:r>
        <w:t>Thornhill</w:t>
      </w:r>
      <w:proofErr w:type="spellEnd"/>
      <w:r>
        <w:t xml:space="preserve"> &amp; </w:t>
      </w:r>
      <w:proofErr w:type="spellStart"/>
      <w:r>
        <w:t>Gangestad</w:t>
      </w:r>
      <w:proofErr w:type="spellEnd"/>
      <w:r>
        <w:t xml:space="preserve"> (1999)</w:t>
      </w:r>
    </w:p>
    <w:p w:rsidR="00E315BB" w:rsidRDefault="00E315BB" w:rsidP="00E315BB">
      <w:pPr>
        <w:pStyle w:val="MDPI21heading1"/>
      </w:pPr>
      <w:r>
        <w:t>Predictions:</w:t>
      </w:r>
    </w:p>
    <w:p w:rsidR="00E315BB" w:rsidRDefault="007C019C" w:rsidP="00E315BB">
      <w:pPr>
        <w:pStyle w:val="MDPI31text"/>
      </w:pPr>
      <w:r>
        <w:t>“</w:t>
      </w:r>
      <w:r w:rsidR="00E315BB">
        <w:t xml:space="preserve">we wished to examine whether the first study [examining the association between men’s FA and women’s preferences for men’s scents when at high fertility; </w:t>
      </w:r>
      <w:proofErr w:type="spellStart"/>
      <w:r w:rsidR="00E315BB">
        <w:t>Gangestad</w:t>
      </w:r>
      <w:proofErr w:type="spellEnd"/>
      <w:r w:rsidR="00E315BB">
        <w:t xml:space="preserve"> &amp; </w:t>
      </w:r>
      <w:proofErr w:type="spellStart"/>
      <w:r w:rsidR="00E315BB">
        <w:t>Thornhill</w:t>
      </w:r>
      <w:proofErr w:type="spellEnd"/>
      <w:r w:rsidR="00E315BB">
        <w:t xml:space="preserve"> 1998] would replicate and thereby assess the reliability of its main finding using a larger sample” (p. 178).</w:t>
      </w:r>
    </w:p>
    <w:p w:rsidR="00E315BB" w:rsidRDefault="00E315BB" w:rsidP="00E315BB">
      <w:pPr>
        <w:pStyle w:val="MDPI21heading1"/>
      </w:pPr>
      <w:r>
        <w:t>Primary Effect:</w:t>
      </w:r>
    </w:p>
    <w:p w:rsidR="00E315BB" w:rsidRDefault="00E315BB" w:rsidP="00E315BB">
      <w:pPr>
        <w:pStyle w:val="MDPI31text"/>
      </w:pPr>
      <w:r>
        <w:t>Association between men’s FA and women’s preferences for men’s scent when at high fertility, controlling for men’s number of showers.</w:t>
      </w:r>
    </w:p>
    <w:p w:rsidR="00E315BB" w:rsidRDefault="00E315BB" w:rsidP="00E315BB">
      <w:pPr>
        <w:pStyle w:val="MDPI21heading1"/>
      </w:pPr>
      <w:r>
        <w:t>Results:</w:t>
      </w:r>
    </w:p>
    <w:p w:rsidR="00E315BB" w:rsidRDefault="00E315BB" w:rsidP="007C019C">
      <w:pPr>
        <w:pStyle w:val="MDPI31text"/>
      </w:pPr>
      <w:r>
        <w:t>“When number of showers was statistically controlled for, men’s FA significantly predicted high fertility-risk women’s ratings of scent attractiveness in this sample of men (r = -.33, p = .011)” (p. 184).</w:t>
      </w:r>
    </w:p>
    <w:p w:rsidR="00E315BB" w:rsidRDefault="00E315BB" w:rsidP="007C019C">
      <w:pPr>
        <w:pStyle w:val="MDPI31text"/>
      </w:pPr>
      <w:r>
        <w:t xml:space="preserve">Recalculated </w:t>
      </w:r>
      <w:r>
        <w:rPr>
          <w:i/>
        </w:rPr>
        <w:t>p</w:t>
      </w:r>
      <w:r>
        <w:t xml:space="preserve"> = .0220, </w:t>
      </w:r>
      <w:proofErr w:type="spellStart"/>
      <w:proofErr w:type="gramStart"/>
      <w:r>
        <w:rPr>
          <w:i/>
        </w:rPr>
        <w:t>df</w:t>
      </w:r>
      <w:proofErr w:type="spellEnd"/>
      <w:proofErr w:type="gramEnd"/>
      <w:r>
        <w:rPr>
          <w:i/>
        </w:rPr>
        <w:t xml:space="preserve"> </w:t>
      </w:r>
      <w:r>
        <w:t>= 46</w:t>
      </w:r>
    </w:p>
    <w:p w:rsidR="00E315BB" w:rsidRDefault="00E315BB" w:rsidP="007C019C">
      <w:pPr>
        <w:pStyle w:val="MDPI21heading1"/>
      </w:pPr>
      <w:proofErr w:type="spellStart"/>
      <w:r>
        <w:t>Gangestad</w:t>
      </w:r>
      <w:proofErr w:type="spellEnd"/>
      <w:r>
        <w:t xml:space="preserve"> &amp; </w:t>
      </w:r>
      <w:proofErr w:type="spellStart"/>
      <w:r>
        <w:t>Thornhill</w:t>
      </w:r>
      <w:proofErr w:type="spellEnd"/>
      <w:r>
        <w:t xml:space="preserve"> (1999)</w:t>
      </w:r>
    </w:p>
    <w:p w:rsidR="00E315BB" w:rsidRDefault="00E315BB" w:rsidP="00E315BB">
      <w:pPr>
        <w:pStyle w:val="MDPI21heading1"/>
      </w:pPr>
      <w:r>
        <w:t>Predictions:</w:t>
      </w:r>
    </w:p>
    <w:p w:rsidR="00E315BB" w:rsidRDefault="00E315BB" w:rsidP="00E315BB">
      <w:pPr>
        <w:pStyle w:val="MDPI31text"/>
      </w:pPr>
      <w:r>
        <w:t>“</w:t>
      </w:r>
      <w:proofErr w:type="spellStart"/>
      <w:r>
        <w:t>Wedekind</w:t>
      </w:r>
      <w:proofErr w:type="spellEnd"/>
      <w:r>
        <w:t xml:space="preserve"> (1995) showed that women prefer the scent of men whose major histocompatibility genes differ from their own. We were interested in whether women’s preferences could also be </w:t>
      </w:r>
      <w:r>
        <w:lastRenderedPageBreak/>
        <w:t>predicted from men’s FA, particularly for women who were in the fertile phase of their ovulatory cycle” (p. 928).</w:t>
      </w:r>
    </w:p>
    <w:p w:rsidR="00E315BB" w:rsidRDefault="00E315BB" w:rsidP="00E315BB">
      <w:pPr>
        <w:pStyle w:val="MDPI21heading1"/>
      </w:pPr>
      <w:r>
        <w:t>Primary effect:</w:t>
      </w:r>
    </w:p>
    <w:p w:rsidR="00E315BB" w:rsidRDefault="00E315BB" w:rsidP="00E315BB">
      <w:pPr>
        <w:pStyle w:val="MDPI31text"/>
      </w:pPr>
      <w:r>
        <w:t>Association between men’s FA and women’s preferences for men’s scent when at high fertility.</w:t>
      </w:r>
    </w:p>
    <w:p w:rsidR="00E315BB" w:rsidRDefault="00E315BB" w:rsidP="00E315BB">
      <w:pPr>
        <w:pStyle w:val="MDPI21heading1"/>
      </w:pPr>
      <w:r>
        <w:t>Results:</w:t>
      </w:r>
    </w:p>
    <w:p w:rsidR="00E315BB" w:rsidRDefault="007C019C" w:rsidP="007C019C">
      <w:pPr>
        <w:pStyle w:val="MDPI31text"/>
      </w:pPr>
      <w:r>
        <w:t>“</w:t>
      </w:r>
      <w:proofErr w:type="gramStart"/>
      <w:r w:rsidR="00E315BB">
        <w:t>men’s</w:t>
      </w:r>
      <w:proofErr w:type="gramEnd"/>
      <w:r w:rsidR="00E315BB">
        <w:t xml:space="preserve"> FA significantly and negatively predicted the mean attractiveness ratings of high-fertility risk women, </w:t>
      </w:r>
      <w:r w:rsidR="00E315BB">
        <w:rPr>
          <w:i/>
        </w:rPr>
        <w:t xml:space="preserve">r </w:t>
      </w:r>
      <w:r w:rsidR="00E315BB">
        <w:t xml:space="preserve">= -0.31, </w:t>
      </w:r>
      <w:r w:rsidR="00E315BB">
        <w:rPr>
          <w:i/>
        </w:rPr>
        <w:t>p</w:t>
      </w:r>
      <w:r w:rsidR="00E315BB">
        <w:t xml:space="preserve"> = .023.” (p. 929).</w:t>
      </w:r>
    </w:p>
    <w:p w:rsidR="00E315BB" w:rsidRDefault="00E315BB" w:rsidP="007C019C">
      <w:pPr>
        <w:pStyle w:val="MDPI31text"/>
      </w:pPr>
      <w:r>
        <w:t xml:space="preserve">Recalculated </w:t>
      </w:r>
      <w:r>
        <w:rPr>
          <w:i/>
        </w:rPr>
        <w:t xml:space="preserve">p </w:t>
      </w:r>
      <w:r>
        <w:t xml:space="preserve">= .0457, </w:t>
      </w:r>
      <w:proofErr w:type="spellStart"/>
      <w:proofErr w:type="gramStart"/>
      <w:r>
        <w:rPr>
          <w:i/>
        </w:rPr>
        <w:t>df</w:t>
      </w:r>
      <w:proofErr w:type="spellEnd"/>
      <w:proofErr w:type="gramEnd"/>
      <w:r>
        <w:rPr>
          <w:i/>
        </w:rPr>
        <w:t xml:space="preserve"> </w:t>
      </w:r>
      <w:r>
        <w:t>= 40</w:t>
      </w:r>
    </w:p>
    <w:p w:rsidR="00E315BB" w:rsidRDefault="00E315BB" w:rsidP="007C019C">
      <w:pPr>
        <w:pStyle w:val="MDPI21heading1"/>
      </w:pPr>
      <w:proofErr w:type="spellStart"/>
      <w:r>
        <w:t>Hönekopp</w:t>
      </w:r>
      <w:proofErr w:type="spellEnd"/>
      <w:r>
        <w:t xml:space="preserve">, </w:t>
      </w:r>
      <w:proofErr w:type="spellStart"/>
      <w:r>
        <w:t>Bartholomé</w:t>
      </w:r>
      <w:proofErr w:type="spellEnd"/>
      <w:r>
        <w:t>, &amp; Jansen (1980)</w:t>
      </w:r>
    </w:p>
    <w:p w:rsidR="00E315BB" w:rsidRDefault="00E315BB" w:rsidP="00E315BB">
      <w:pPr>
        <w:pStyle w:val="MDPI21heading1"/>
      </w:pPr>
      <w:r>
        <w:t>Predictions:</w:t>
      </w:r>
    </w:p>
    <w:p w:rsidR="00E315BB" w:rsidRDefault="00E315BB" w:rsidP="007C019C">
      <w:pPr>
        <w:pStyle w:val="MDPI31text"/>
      </w:pPr>
      <w:r>
        <w:t>“In sum, our hypotheses are as follows: (1) There is a positive relationship between the physical fitness of women and the attractiveness of their faces</w:t>
      </w:r>
      <w:r>
        <w:t>;</w:t>
      </w:r>
      <w:r>
        <w:rPr>
          <w:rFonts w:ascii="Times New Roman" w:hAnsi="Times New Roman"/>
        </w:rPr>
        <w:t xml:space="preserve"> </w:t>
      </w:r>
      <w:r>
        <w:t>(</w:t>
      </w:r>
      <w:r>
        <w:t>2</w:t>
      </w:r>
      <w:r>
        <w:t>) There will also be a negative</w:t>
      </w:r>
      <w:r>
        <w:t xml:space="preserve"> </w:t>
      </w:r>
      <w:r>
        <w:rPr>
          <w:rFonts w:ascii="Garamond" w:hAnsi="Garamond"/>
          <w:sz w:val="24"/>
          <w:szCs w:val="24"/>
        </w:rPr>
        <w:t xml:space="preserve">relationship between physical fitness and body FA” (p. 150-151) </w:t>
      </w:r>
    </w:p>
    <w:p w:rsidR="00E315BB" w:rsidRDefault="00E315BB" w:rsidP="00E315BB">
      <w:pPr>
        <w:pStyle w:val="MDPI31text"/>
      </w:pPr>
      <w:r>
        <w:t xml:space="preserve">(The authors do not explicitly predict the effect used in </w:t>
      </w:r>
      <w:r>
        <w:rPr>
          <w:i/>
        </w:rPr>
        <w:t>p</w:t>
      </w:r>
      <w:r>
        <w:t>-curve analysis; however, a predicted negative correlation between facial attractiveness and body FA can be inferred from the above passage.)</w:t>
      </w:r>
    </w:p>
    <w:p w:rsidR="00E315BB" w:rsidRDefault="00E315BB" w:rsidP="00E315BB">
      <w:pPr>
        <w:pStyle w:val="MDPI21heading1"/>
        <w:rPr>
          <w:rFonts w:cstheme="minorBidi"/>
        </w:rPr>
      </w:pPr>
      <w:r>
        <w:t>Primary Effect:</w:t>
      </w:r>
    </w:p>
    <w:p w:rsidR="00E315BB" w:rsidRPr="007C019C" w:rsidRDefault="00E315BB" w:rsidP="007C019C">
      <w:pPr>
        <w:pStyle w:val="MDPI31text"/>
      </w:pPr>
      <w:r>
        <w:t>Correlation between facial attractiveness and bodily FA (a sum of asymmetry on 8 features: breadth of hands, wrists, feet, ankles, and ears; length of ears and of second and fifth fingers</w:t>
      </w:r>
    </w:p>
    <w:p w:rsidR="00E315BB" w:rsidRDefault="00E315BB" w:rsidP="00E315BB">
      <w:pPr>
        <w:pStyle w:val="MDPI21heading1"/>
        <w:rPr>
          <w:rFonts w:cstheme="minorBidi"/>
        </w:rPr>
      </w:pPr>
      <w:r>
        <w:t>Results:</w:t>
      </w:r>
    </w:p>
    <w:p w:rsidR="00E315BB" w:rsidRDefault="00E315BB" w:rsidP="00E315BB">
      <w:pPr>
        <w:pStyle w:val="MDPI31text"/>
      </w:pPr>
      <w:r>
        <w:t xml:space="preserve">“The relationship between </w:t>
      </w:r>
      <w:r>
        <w:rPr>
          <w:i/>
          <w:iCs/>
        </w:rPr>
        <w:t xml:space="preserve">bas </w:t>
      </w:r>
      <w:r>
        <w:rPr>
          <w:iCs/>
        </w:rPr>
        <w:t xml:space="preserve">[body asymmetry] </w:t>
      </w:r>
      <w:r>
        <w:t xml:space="preserve">and facial attractiveness proved to be negative </w:t>
      </w:r>
      <w:r>
        <w:rPr>
          <w:i/>
          <w:iCs/>
        </w:rPr>
        <w:t>(r</w:t>
      </w:r>
      <w:r>
        <w:rPr>
          <w:i/>
          <w:iCs/>
          <w:vertAlign w:val="subscript"/>
        </w:rPr>
        <w:t>77</w:t>
      </w:r>
      <w:r>
        <w:rPr>
          <w:i/>
          <w:iCs/>
        </w:rPr>
        <w:t xml:space="preserve"> </w:t>
      </w:r>
      <w:r>
        <w:t xml:space="preserve">= -.24, </w:t>
      </w:r>
      <w:r>
        <w:rPr>
          <w:i/>
          <w:iCs/>
        </w:rPr>
        <w:t xml:space="preserve">p = </w:t>
      </w:r>
      <w:r>
        <w:t>.02), which is consistent with the view that both variables are indicators of mate value.”</w:t>
      </w:r>
    </w:p>
    <w:p w:rsidR="00E315BB" w:rsidRDefault="00E315BB" w:rsidP="00E315BB">
      <w:pPr>
        <w:pStyle w:val="MDPI31text"/>
      </w:pPr>
      <w:r>
        <w:t xml:space="preserve">Recalculated </w:t>
      </w:r>
      <w:r>
        <w:rPr>
          <w:i/>
        </w:rPr>
        <w:t>p</w:t>
      </w:r>
      <w:r>
        <w:t xml:space="preserve"> = .0331, </w:t>
      </w:r>
      <w:proofErr w:type="spellStart"/>
      <w:proofErr w:type="gramStart"/>
      <w:r>
        <w:rPr>
          <w:i/>
        </w:rPr>
        <w:t>df</w:t>
      </w:r>
      <w:proofErr w:type="spellEnd"/>
      <w:proofErr w:type="gramEnd"/>
      <w:r>
        <w:t xml:space="preserve"> = 77 </w:t>
      </w:r>
    </w:p>
    <w:p w:rsidR="00E315BB" w:rsidRDefault="00E315BB" w:rsidP="007C019C">
      <w:pPr>
        <w:pStyle w:val="MDPI21heading1"/>
      </w:pPr>
      <w:r>
        <w:t>Hughes, Harrison, &amp; Gallup (2002)</w:t>
      </w:r>
    </w:p>
    <w:p w:rsidR="00E315BB" w:rsidRDefault="00E315BB" w:rsidP="00E315BB">
      <w:pPr>
        <w:pStyle w:val="MDPI21heading1"/>
      </w:pPr>
      <w:r>
        <w:t>Predictions:</w:t>
      </w:r>
    </w:p>
    <w:p w:rsidR="00E315BB" w:rsidRPr="007C019C" w:rsidRDefault="00E315BB" w:rsidP="007C019C">
      <w:pPr>
        <w:pStyle w:val="MDPI31text"/>
      </w:pPr>
      <w:r>
        <w:t>“In the present study, we examined the relationship between independent ratings of voice</w:t>
      </w:r>
      <w:r w:rsidR="007C019C">
        <w:t xml:space="preserve"> </w:t>
      </w:r>
      <w:r>
        <w:t xml:space="preserve">attractiveness and bilateral symmetry in humans” (p. 174) </w:t>
      </w:r>
    </w:p>
    <w:p w:rsidR="00E315BB" w:rsidRDefault="00E315BB" w:rsidP="00E315BB">
      <w:pPr>
        <w:pStyle w:val="MDPI21heading1"/>
        <w:rPr>
          <w:rFonts w:cstheme="minorBidi"/>
        </w:rPr>
      </w:pPr>
      <w:r>
        <w:t>Primary Effect:</w:t>
      </w:r>
    </w:p>
    <w:p w:rsidR="00E315BB" w:rsidRPr="007C019C" w:rsidRDefault="00E315BB" w:rsidP="007C019C">
      <w:pPr>
        <w:pStyle w:val="MDPI31text"/>
      </w:pPr>
      <w:r>
        <w:t>Correlation between rated vocal attractiveness and FA (a sum of asymmetry on 7 features: “the ventral surface of the second through the fifth digits from the basal crease to the tip of the finger, elbow width, the maximum width of the hand, and the maximum diameter of the wrist” [p. 175])</w:t>
      </w:r>
    </w:p>
    <w:p w:rsidR="00E315BB" w:rsidRDefault="00E315BB" w:rsidP="00E315BB">
      <w:pPr>
        <w:pStyle w:val="MDPI21heading1"/>
        <w:rPr>
          <w:rFonts w:cstheme="minorBidi"/>
        </w:rPr>
      </w:pPr>
      <w:r>
        <w:t>Results:</w:t>
      </w:r>
    </w:p>
    <w:p w:rsidR="00E315BB" w:rsidRDefault="00E315BB" w:rsidP="00E315BB">
      <w:pPr>
        <w:pStyle w:val="MDPI31text"/>
      </w:pPr>
      <w:r>
        <w:t>For females, the overall FA index was negatively correlated with both opposite-sex voice</w:t>
      </w:r>
    </w:p>
    <w:p w:rsidR="00E315BB" w:rsidRDefault="00E315BB" w:rsidP="00E315BB">
      <w:pPr>
        <w:pStyle w:val="MDPI31text"/>
      </w:pPr>
      <w:proofErr w:type="gramStart"/>
      <w:r>
        <w:t>attractiveness</w:t>
      </w:r>
      <w:proofErr w:type="gramEnd"/>
      <w:r>
        <w:t xml:space="preserve"> ratings (r =-.408, n = 46, P &lt; .01) … For males, the overall FA index was also negatively correlated with both opposite-sex voice attractiveness ratings (</w:t>
      </w:r>
      <w:r>
        <w:rPr>
          <w:rFonts w:cs="AdvTTf90d833a.I"/>
        </w:rPr>
        <w:t xml:space="preserve">r </w:t>
      </w:r>
      <w:r>
        <w:t>=</w:t>
      </w:r>
      <w:r>
        <w:rPr>
          <w:rFonts w:cs="AdvP4C4E74"/>
        </w:rPr>
        <w:t>-</w:t>
      </w:r>
      <w:r>
        <w:t xml:space="preserve">.364, </w:t>
      </w:r>
      <w:r>
        <w:rPr>
          <w:rFonts w:cs="AdvTTf90d833a.I"/>
        </w:rPr>
        <w:t xml:space="preserve">n </w:t>
      </w:r>
      <w:r>
        <w:t xml:space="preserve">= 50, </w:t>
      </w:r>
      <w:r>
        <w:rPr>
          <w:rFonts w:cs="AdvTTf90d833a.I"/>
        </w:rPr>
        <w:t xml:space="preserve">P </w:t>
      </w:r>
      <w:r>
        <w:t>&lt; .01) (p. 178)</w:t>
      </w:r>
    </w:p>
    <w:p w:rsidR="00E315BB" w:rsidRDefault="00E315BB" w:rsidP="00E315BB">
      <w:pPr>
        <w:pStyle w:val="MDPI31text"/>
      </w:pPr>
    </w:p>
    <w:p w:rsidR="00E315BB" w:rsidRDefault="00E315BB" w:rsidP="00E315BB">
      <w:pPr>
        <w:pStyle w:val="MDPI31text"/>
        <w:rPr>
          <w:rFonts w:cstheme="minorBidi"/>
        </w:rPr>
      </w:pPr>
      <w:r>
        <w:t xml:space="preserve">Recalculated </w:t>
      </w:r>
      <w:r>
        <w:rPr>
          <w:i/>
        </w:rPr>
        <w:t>p</w:t>
      </w:r>
      <w:r>
        <w:t xml:space="preserve"> = .00013, </w:t>
      </w:r>
      <w:proofErr w:type="spellStart"/>
      <w:proofErr w:type="gramStart"/>
      <w:r>
        <w:rPr>
          <w:i/>
        </w:rPr>
        <w:t>df</w:t>
      </w:r>
      <w:proofErr w:type="spellEnd"/>
      <w:proofErr w:type="gramEnd"/>
      <w:r>
        <w:t xml:space="preserve"> = 92 (averaging correlations for opposite-sex voice ratings, weighted by sample size)</w:t>
      </w:r>
    </w:p>
    <w:p w:rsidR="00E315BB" w:rsidRDefault="00E315BB" w:rsidP="007C019C">
      <w:pPr>
        <w:pStyle w:val="MDPI21heading1"/>
      </w:pPr>
      <w:proofErr w:type="spellStart"/>
      <w:r>
        <w:lastRenderedPageBreak/>
        <w:t>Thornhill</w:t>
      </w:r>
      <w:proofErr w:type="spellEnd"/>
      <w:r>
        <w:t xml:space="preserve"> &amp; </w:t>
      </w:r>
      <w:proofErr w:type="spellStart"/>
      <w:r>
        <w:t>Gangestad</w:t>
      </w:r>
      <w:proofErr w:type="spellEnd"/>
      <w:r>
        <w:t xml:space="preserve"> (2006)</w:t>
      </w:r>
    </w:p>
    <w:p w:rsidR="00E315BB" w:rsidRDefault="00E315BB" w:rsidP="00E315BB">
      <w:pPr>
        <w:pStyle w:val="MDPI21heading1"/>
      </w:pPr>
      <w:r>
        <w:t>Predictions:</w:t>
      </w:r>
    </w:p>
    <w:p w:rsidR="00E315BB" w:rsidRDefault="00E315BB" w:rsidP="00E315BB">
      <w:pPr>
        <w:pStyle w:val="MDPI31text"/>
      </w:pPr>
      <w:r>
        <w:t>“We predicted the negative associations between health measures and body and facial FA” (p. 136).</w:t>
      </w:r>
    </w:p>
    <w:p w:rsidR="00E315BB" w:rsidRDefault="00E315BB" w:rsidP="00E315BB">
      <w:pPr>
        <w:pStyle w:val="MDPI21heading1"/>
      </w:pPr>
      <w:r>
        <w:t>Primary Effect:</w:t>
      </w:r>
    </w:p>
    <w:p w:rsidR="00E315BB" w:rsidRDefault="00E315BB" w:rsidP="00E315BB">
      <w:pPr>
        <w:pStyle w:val="MDPI31text"/>
      </w:pPr>
      <w:r>
        <w:t>Association between body FA and self-reported total number of infections over the past 3 years.</w:t>
      </w:r>
    </w:p>
    <w:p w:rsidR="00E315BB" w:rsidRDefault="00E315BB" w:rsidP="00E315BB">
      <w:pPr>
        <w:pStyle w:val="MDPI21heading1"/>
      </w:pPr>
      <w:r>
        <w:t>Results:</w:t>
      </w:r>
    </w:p>
    <w:p w:rsidR="00E315BB" w:rsidRDefault="00E315BB" w:rsidP="00E315BB">
      <w:pPr>
        <w:pStyle w:val="MDPI31text"/>
      </w:pPr>
      <w:r>
        <w:t>“As predicted, body FA significantly and positively predicted number of infections [</w:t>
      </w:r>
      <w:proofErr w:type="gramStart"/>
      <w:r>
        <w:rPr>
          <w:i/>
        </w:rPr>
        <w:t>F</w:t>
      </w:r>
      <w:r>
        <w:t>(</w:t>
      </w:r>
      <w:proofErr w:type="gramEnd"/>
      <w:r>
        <w:t xml:space="preserve">1,387) = 4.25, </w:t>
      </w:r>
      <w:r>
        <w:rPr>
          <w:i/>
        </w:rPr>
        <w:t>p</w:t>
      </w:r>
      <w:r>
        <w:t xml:space="preserve"> &lt; .03]” (p. 139).</w:t>
      </w:r>
    </w:p>
    <w:p w:rsidR="00E315BB" w:rsidRDefault="00E315BB" w:rsidP="00E315BB">
      <w:pPr>
        <w:pStyle w:val="MDPI31text"/>
      </w:pPr>
      <w:r>
        <w:t xml:space="preserve">Recalculated </w:t>
      </w:r>
      <w:r>
        <w:rPr>
          <w:i/>
        </w:rPr>
        <w:t>p</w:t>
      </w:r>
      <w:r>
        <w:t xml:space="preserve"> = .0401, </w:t>
      </w:r>
      <w:proofErr w:type="spellStart"/>
      <w:proofErr w:type="gramStart"/>
      <w:r>
        <w:rPr>
          <w:i/>
        </w:rPr>
        <w:t>df</w:t>
      </w:r>
      <w:proofErr w:type="spellEnd"/>
      <w:proofErr w:type="gramEnd"/>
      <w:r>
        <w:rPr>
          <w:i/>
        </w:rPr>
        <w:t xml:space="preserve"> </w:t>
      </w:r>
      <w:r>
        <w:t>= 387</w:t>
      </w:r>
    </w:p>
    <w:p w:rsidR="00E315BB" w:rsidRDefault="00E315BB" w:rsidP="007C019C">
      <w:pPr>
        <w:pStyle w:val="MDPI21heading1"/>
      </w:pPr>
      <w:proofErr w:type="spellStart"/>
      <w:r>
        <w:t>Gangestad</w:t>
      </w:r>
      <w:proofErr w:type="spellEnd"/>
      <w:r>
        <w:t>, Merriman &amp; Emery Thompson (2010)</w:t>
      </w:r>
    </w:p>
    <w:p w:rsidR="00E315BB" w:rsidRDefault="00E315BB" w:rsidP="00E315BB">
      <w:pPr>
        <w:pStyle w:val="MDPI21heading1"/>
      </w:pPr>
      <w:r>
        <w:t>Predictions:</w:t>
      </w:r>
    </w:p>
    <w:p w:rsidR="00E315BB" w:rsidRPr="007C019C" w:rsidRDefault="00E315BB" w:rsidP="007C019C">
      <w:pPr>
        <w:pStyle w:val="MDPI31text"/>
      </w:pPr>
      <w:r>
        <w:t>“We therefore predicted that individual differences in susceptibility to oxidative stress should be associated with FA. We examined the association between men</w:t>
      </w:r>
      <w:r>
        <w:rPr>
          <w:rFonts w:cs="AdvOT863180fb+20"/>
        </w:rPr>
        <w:t>’</w:t>
      </w:r>
      <w:r>
        <w:t>s FA and biomarkers of oxidative stress” (p. 1006).</w:t>
      </w:r>
    </w:p>
    <w:p w:rsidR="00E315BB" w:rsidRDefault="00E315BB" w:rsidP="00E315BB">
      <w:pPr>
        <w:pStyle w:val="MDPI21heading1"/>
        <w:rPr>
          <w:rFonts w:cstheme="minorBidi"/>
        </w:rPr>
      </w:pPr>
      <w:r>
        <w:t>Primary Effect:</w:t>
      </w:r>
    </w:p>
    <w:p w:rsidR="00E315BB" w:rsidRDefault="00E315BB" w:rsidP="00E315BB">
      <w:pPr>
        <w:pStyle w:val="MDPI31text"/>
      </w:pPr>
      <w:r>
        <w:t>Association between men’s body FA and composite measure of oxidative stress, with confounds (exposure to toxins and number of cigarettes smoked daily) controlled.</w:t>
      </w:r>
    </w:p>
    <w:p w:rsidR="00E315BB" w:rsidRDefault="00E315BB" w:rsidP="00E315BB">
      <w:pPr>
        <w:pStyle w:val="MDPI21heading1"/>
      </w:pPr>
      <w:r>
        <w:t>Results:</w:t>
      </w:r>
    </w:p>
    <w:p w:rsidR="00E315BB" w:rsidRDefault="00E315BB" w:rsidP="007C019C">
      <w:pPr>
        <w:pStyle w:val="MDPI31text"/>
      </w:pPr>
      <w:r>
        <w:t xml:space="preserve">“We examined the correlation between FA and oxidative stress, with toxin exposure, smoking, and their interaction </w:t>
      </w:r>
      <w:proofErr w:type="spellStart"/>
      <w:r>
        <w:t>partialled</w:t>
      </w:r>
      <w:proofErr w:type="spellEnd"/>
      <w:r>
        <w:t xml:space="preserve"> out. As expected, FA signi</w:t>
      </w:r>
      <w:r>
        <w:rPr>
          <w:rFonts w:cs="AdvOT863180fb+fb"/>
        </w:rPr>
        <w:t>fi</w:t>
      </w:r>
      <w:r>
        <w:t xml:space="preserve">cantly and positively predicted oxidative stress (partial </w:t>
      </w:r>
      <w:r>
        <w:rPr>
          <w:rFonts w:cs="AdvOTb92eb7df.I"/>
          <w:i/>
        </w:rPr>
        <w:t>r</w:t>
      </w:r>
      <w:r>
        <w:rPr>
          <w:rFonts w:cs="AdvOTb92eb7df.I"/>
        </w:rPr>
        <w:t xml:space="preserve"> </w:t>
      </w:r>
      <w:r>
        <w:rPr>
          <w:rFonts w:cs="AdvP4C4E74"/>
        </w:rPr>
        <w:t xml:space="preserve">= </w:t>
      </w:r>
      <w:r>
        <w:t xml:space="preserve">0.26, </w:t>
      </w:r>
      <w:r>
        <w:rPr>
          <w:rFonts w:cs="AdvOTb92eb7df.I"/>
          <w:i/>
        </w:rPr>
        <w:t>N</w:t>
      </w:r>
      <w:r>
        <w:rPr>
          <w:rFonts w:cs="AdvOTb92eb7df.I"/>
        </w:rPr>
        <w:t xml:space="preserve"> </w:t>
      </w:r>
      <w:r>
        <w:rPr>
          <w:rFonts w:cs="AdvP4C4E74"/>
        </w:rPr>
        <w:t>=</w:t>
      </w:r>
      <w:r>
        <w:t xml:space="preserve">70, </w:t>
      </w:r>
      <w:r>
        <w:rPr>
          <w:rFonts w:cs="AdvOTb92eb7df.I"/>
          <w:i/>
        </w:rPr>
        <w:t>P</w:t>
      </w:r>
      <w:r>
        <w:rPr>
          <w:rFonts w:cs="AdvOTb92eb7df.I"/>
        </w:rPr>
        <w:t xml:space="preserve"> </w:t>
      </w:r>
      <w:r>
        <w:rPr>
          <w:rFonts w:cs="AdvP4C4E74"/>
        </w:rPr>
        <w:t xml:space="preserve">= </w:t>
      </w:r>
      <w:r>
        <w:t xml:space="preserve">0.021; </w:t>
      </w:r>
      <w:r>
        <w:rPr>
          <w:color w:val="000066"/>
        </w:rPr>
        <w:t>Table 2</w:t>
      </w:r>
      <w:r>
        <w:t xml:space="preserve">, </w:t>
      </w:r>
      <w:r>
        <w:rPr>
          <w:color w:val="000066"/>
        </w:rPr>
        <w:t>Fig. 1</w:t>
      </w:r>
      <w:r>
        <w:t>)” (p. 1009).</w:t>
      </w:r>
    </w:p>
    <w:p w:rsidR="00E315BB" w:rsidRDefault="00E315BB" w:rsidP="007C019C">
      <w:pPr>
        <w:pStyle w:val="MDPI31text"/>
      </w:pPr>
      <w:r>
        <w:t xml:space="preserve">Recalculated </w:t>
      </w:r>
      <w:r>
        <w:rPr>
          <w:i/>
        </w:rPr>
        <w:t>p</w:t>
      </w:r>
      <w:r>
        <w:t xml:space="preserve"> = .0336, </w:t>
      </w:r>
      <w:proofErr w:type="spellStart"/>
      <w:proofErr w:type="gramStart"/>
      <w:r>
        <w:rPr>
          <w:i/>
        </w:rPr>
        <w:t>df</w:t>
      </w:r>
      <w:proofErr w:type="spellEnd"/>
      <w:proofErr w:type="gramEnd"/>
      <w:r>
        <w:t xml:space="preserve"> = 65</w:t>
      </w:r>
    </w:p>
    <w:p w:rsidR="00E315BB" w:rsidRDefault="00E315BB" w:rsidP="007C019C">
      <w:pPr>
        <w:pStyle w:val="MDPI21heading1"/>
        <w:rPr>
          <w:rFonts w:cstheme="minorBidi"/>
          <w:color w:val="auto"/>
        </w:rPr>
      </w:pPr>
      <w:r>
        <w:t xml:space="preserve">Milne, </w:t>
      </w:r>
      <w:proofErr w:type="spellStart"/>
      <w:r>
        <w:t>Belsky</w:t>
      </w:r>
      <w:proofErr w:type="spellEnd"/>
      <w:r>
        <w:t xml:space="preserve">, </w:t>
      </w:r>
      <w:proofErr w:type="spellStart"/>
      <w:r>
        <w:t>Poulton</w:t>
      </w:r>
      <w:proofErr w:type="spellEnd"/>
      <w:r>
        <w:t xml:space="preserve">, Thomson, </w:t>
      </w:r>
      <w:proofErr w:type="spellStart"/>
      <w:r>
        <w:t>Caspi</w:t>
      </w:r>
      <w:proofErr w:type="spellEnd"/>
      <w:r>
        <w:t xml:space="preserve"> &amp; Keiser (2003)</w:t>
      </w:r>
    </w:p>
    <w:p w:rsidR="00E315BB" w:rsidRDefault="00E315BB" w:rsidP="00E315BB">
      <w:pPr>
        <w:pStyle w:val="MDPI21heading1"/>
      </w:pPr>
      <w:r>
        <w:t>Predictions:</w:t>
      </w:r>
    </w:p>
    <w:p w:rsidR="00E315BB" w:rsidRDefault="00E315BB" w:rsidP="007C019C">
      <w:pPr>
        <w:pStyle w:val="MDPI31text"/>
      </w:pPr>
      <w:r>
        <w:t>“If, as suggested, ill-health derives from the inability to cope with genetic and environmental stressors, ill-health should be positively correlated with FA.” (</w:t>
      </w:r>
      <w:proofErr w:type="gramStart"/>
      <w:r>
        <w:t>p</w:t>
      </w:r>
      <w:proofErr w:type="gramEnd"/>
      <w:r>
        <w:t xml:space="preserve"> .55)</w:t>
      </w:r>
    </w:p>
    <w:p w:rsidR="00E315BB" w:rsidRDefault="00E315BB" w:rsidP="00E315BB">
      <w:pPr>
        <w:pStyle w:val="MDPI21heading1"/>
        <w:rPr>
          <w:rFonts w:cstheme="minorBidi"/>
        </w:rPr>
      </w:pPr>
      <w:r>
        <w:t>Primary Effect:</w:t>
      </w:r>
    </w:p>
    <w:p w:rsidR="00E315BB" w:rsidRPr="007C019C" w:rsidRDefault="00E315BB" w:rsidP="007C019C">
      <w:pPr>
        <w:pStyle w:val="MDPI31text"/>
      </w:pPr>
      <w:r>
        <w:t>Logistic regression on six-feature composite of body FA and number of medical conditions (zero vs. two or more).</w:t>
      </w:r>
    </w:p>
    <w:p w:rsidR="00E315BB" w:rsidRDefault="00E315BB" w:rsidP="00E315BB">
      <w:pPr>
        <w:pStyle w:val="MDPI21heading1"/>
        <w:rPr>
          <w:rFonts w:cstheme="minorBidi"/>
        </w:rPr>
      </w:pPr>
      <w:r>
        <w:t>Results:</w:t>
      </w:r>
    </w:p>
    <w:p w:rsidR="00E315BB" w:rsidRDefault="00E315BB" w:rsidP="00E315BB">
      <w:pPr>
        <w:pStyle w:val="MDPI31text"/>
      </w:pPr>
      <w:r>
        <w:t>“FA was significantly associated with …the number of self-reported medical conditions but not with other health measures. These associations remained significant after controlling for sex, exercise, and SES. Effects were modest: a one standard deviation increase in asymmetry… increased odds of reporting two or more medical conditions of 1.24 (95% CI = 1.01–1.52)” (p. 59)</w:t>
      </w:r>
    </w:p>
    <w:p w:rsidR="00E315BB" w:rsidRDefault="00E315BB" w:rsidP="00E315BB">
      <w:pPr>
        <w:pStyle w:val="MDPI31text"/>
      </w:pPr>
      <w:r>
        <w:t>Table 2: Model 1 odds ratio, 0 vs. 2 or more medical conditions: 1.27 (CI: 1.04-1.54)</w:t>
      </w:r>
    </w:p>
    <w:p w:rsidR="00E315BB" w:rsidRDefault="00E315BB" w:rsidP="00E315BB">
      <w:pPr>
        <w:pStyle w:val="MDPI31text"/>
      </w:pPr>
      <w:r>
        <w:t xml:space="preserve">Recalculated </w:t>
      </w:r>
      <w:r>
        <w:rPr>
          <w:i/>
        </w:rPr>
        <w:t>p</w:t>
      </w:r>
      <w:r>
        <w:t xml:space="preserve"> = .0388</w:t>
      </w:r>
    </w:p>
    <w:p w:rsidR="00E315BB" w:rsidRDefault="00E315BB" w:rsidP="007C019C">
      <w:pPr>
        <w:pStyle w:val="MDPI21heading1"/>
      </w:pPr>
      <w:proofErr w:type="spellStart"/>
      <w:r>
        <w:t>Waynforth</w:t>
      </w:r>
      <w:proofErr w:type="spellEnd"/>
      <w:r>
        <w:t xml:space="preserve"> (1998)</w:t>
      </w:r>
    </w:p>
    <w:p w:rsidR="00E315BB" w:rsidRDefault="00E315BB" w:rsidP="00E315BB">
      <w:pPr>
        <w:pStyle w:val="MDPI21heading1"/>
      </w:pPr>
      <w:r>
        <w:lastRenderedPageBreak/>
        <w:t>Predictions:</w:t>
      </w:r>
    </w:p>
    <w:p w:rsidR="00E315BB" w:rsidRPr="007C019C" w:rsidRDefault="00E315BB" w:rsidP="007C019C">
      <w:pPr>
        <w:pStyle w:val="MDPI31text"/>
      </w:pPr>
      <w:r>
        <w:t>“Given this fact, and that low FA connotes pathogen resistance, it may be the case that FA will be strongly correlated with morbidity in this sample, and that both will be predictors of reproductive success” (p. 1498)</w:t>
      </w:r>
    </w:p>
    <w:p w:rsidR="00E315BB" w:rsidRDefault="00E315BB" w:rsidP="00E315BB">
      <w:pPr>
        <w:pStyle w:val="MDPI21heading1"/>
        <w:rPr>
          <w:rFonts w:cstheme="minorBidi"/>
        </w:rPr>
      </w:pPr>
      <w:r>
        <w:t>Primary Effect:</w:t>
      </w:r>
    </w:p>
    <w:p w:rsidR="00E315BB" w:rsidRDefault="00E315BB" w:rsidP="00E315BB">
      <w:pPr>
        <w:pStyle w:val="MDPI31text"/>
      </w:pPr>
      <w:r>
        <w:t>Poisson regression on number of illnesses as an adult and body FA (8-feature composite), controlling for age.</w:t>
      </w:r>
    </w:p>
    <w:p w:rsidR="00E315BB" w:rsidRDefault="00E315BB" w:rsidP="00E315BB">
      <w:pPr>
        <w:pStyle w:val="MDPI21heading1"/>
      </w:pPr>
      <w:r>
        <w:t>Results:</w:t>
      </w:r>
    </w:p>
    <w:p w:rsidR="00E315BB" w:rsidRDefault="00E315BB" w:rsidP="00E315BB">
      <w:pPr>
        <w:pStyle w:val="MDPI31text"/>
      </w:pPr>
      <w:r>
        <w:t>“The occurrence of life-threatening illness was significantly higher in men with higher FA (Poisson regression, χ</w:t>
      </w:r>
      <w:r>
        <w:rPr>
          <w:vertAlign w:val="superscript"/>
        </w:rPr>
        <w:t>2</w:t>
      </w:r>
      <w:r>
        <w:t xml:space="preserve"> = 5.52, </w:t>
      </w:r>
      <w:proofErr w:type="spellStart"/>
      <w:proofErr w:type="gramStart"/>
      <w:r>
        <w:t>d.f</w:t>
      </w:r>
      <w:proofErr w:type="gramEnd"/>
      <w:r>
        <w:t>.</w:t>
      </w:r>
      <w:proofErr w:type="spellEnd"/>
      <w:r>
        <w:t xml:space="preserve"> = 1, p = 0.02; table 2)” (p. 1500)</w:t>
      </w:r>
    </w:p>
    <w:p w:rsidR="00E315BB" w:rsidRDefault="00E315BB" w:rsidP="00E315BB">
      <w:pPr>
        <w:pStyle w:val="MDPI31text"/>
      </w:pPr>
      <w:r>
        <w:t xml:space="preserve">Recalculated </w:t>
      </w:r>
      <w:r>
        <w:rPr>
          <w:i/>
        </w:rPr>
        <w:t>p =</w:t>
      </w:r>
      <w:r>
        <w:t xml:space="preserve"> .0188, </w:t>
      </w:r>
      <w:proofErr w:type="spellStart"/>
      <w:proofErr w:type="gramStart"/>
      <w:r>
        <w:rPr>
          <w:i/>
        </w:rPr>
        <w:t>df</w:t>
      </w:r>
      <w:proofErr w:type="spellEnd"/>
      <w:proofErr w:type="gramEnd"/>
      <w:r>
        <w:t xml:space="preserve"> = 55</w:t>
      </w:r>
    </w:p>
    <w:p w:rsidR="00E315BB" w:rsidRDefault="00E315BB" w:rsidP="00E315BB">
      <w:pPr>
        <w:pStyle w:val="MDPI31text"/>
        <w:rPr>
          <w:b/>
        </w:rPr>
      </w:pPr>
      <w:r>
        <w:t xml:space="preserve">Alternative test-statistic: </w:t>
      </w:r>
      <w:proofErr w:type="gramStart"/>
      <w:r>
        <w:rPr>
          <w:i/>
        </w:rPr>
        <w:t>r</w:t>
      </w:r>
      <w:r>
        <w:t>(</w:t>
      </w:r>
      <w:proofErr w:type="gramEnd"/>
      <w:r>
        <w:t xml:space="preserve">55) = .31, </w:t>
      </w:r>
      <w:r>
        <w:rPr>
          <w:i/>
        </w:rPr>
        <w:t>p</w:t>
      </w:r>
      <w:r>
        <w:t xml:space="preserve"> = .0189 (see Table 1)</w:t>
      </w:r>
    </w:p>
    <w:p w:rsidR="00E315BB" w:rsidRDefault="00E315BB" w:rsidP="007C019C">
      <w:pPr>
        <w:pStyle w:val="MDPI21heading1"/>
      </w:pPr>
      <w:proofErr w:type="spellStart"/>
      <w:r>
        <w:t>Lalumiére</w:t>
      </w:r>
      <w:proofErr w:type="spellEnd"/>
      <w:r>
        <w:t>, Harris, &amp; Rice (1999)</w:t>
      </w:r>
    </w:p>
    <w:p w:rsidR="00E315BB" w:rsidRDefault="00E315BB" w:rsidP="00E315BB">
      <w:pPr>
        <w:pStyle w:val="MDPI21heading1"/>
      </w:pPr>
      <w:r>
        <w:t>Predictions:</w:t>
      </w:r>
    </w:p>
    <w:p w:rsidR="00E315BB" w:rsidRPr="007C019C" w:rsidRDefault="00E315BB" w:rsidP="007C019C">
      <w:pPr>
        <w:pStyle w:val="MDPI31text"/>
        <w:rPr>
          <w:rFonts w:cs="AdvT108"/>
        </w:rPr>
      </w:pPr>
      <w:r>
        <w:t>“In this paper, we investigate the relationship between the number of older brothers and FA in two different groups of adult males. It was predicted that male FA scores would be positively and linearly related to their number of older brothers.” (p. 2352)</w:t>
      </w:r>
    </w:p>
    <w:p w:rsidR="00E315BB" w:rsidRDefault="00E315BB" w:rsidP="00E315BB">
      <w:pPr>
        <w:pStyle w:val="MDPI21heading1"/>
        <w:rPr>
          <w:rFonts w:cstheme="minorBidi"/>
        </w:rPr>
      </w:pPr>
      <w:r>
        <w:t>Primary Effect:</w:t>
      </w:r>
    </w:p>
    <w:p w:rsidR="00E315BB" w:rsidRDefault="00E315BB" w:rsidP="00E315BB">
      <w:pPr>
        <w:pStyle w:val="MDPI31text"/>
      </w:pPr>
      <w:r>
        <w:t>Correlation between number of older brothers and body FA (10-trait composite), controlling for number of siblings and total family size.</w:t>
      </w:r>
    </w:p>
    <w:p w:rsidR="00E315BB" w:rsidRDefault="00E315BB" w:rsidP="00E315BB">
      <w:pPr>
        <w:pStyle w:val="MDPI21heading1"/>
      </w:pPr>
      <w:r>
        <w:t>Results:</w:t>
      </w:r>
    </w:p>
    <w:p w:rsidR="00E315BB" w:rsidRDefault="00E315BB" w:rsidP="00E315BB">
      <w:pPr>
        <w:pStyle w:val="MDPI31text"/>
      </w:pPr>
      <w:r>
        <w:t>“The results presented in table1 show that only the number of older brothers significantly contributed to variance in FA. The larger the number of older brothers a participant had, the larger his FA value.” (p. 2352-2353)</w:t>
      </w:r>
    </w:p>
    <w:p w:rsidR="00E315BB" w:rsidRDefault="00E315BB" w:rsidP="00E315BB">
      <w:pPr>
        <w:pStyle w:val="MDPI31text"/>
      </w:pPr>
      <w:r>
        <w:t xml:space="preserve">Table1: </w:t>
      </w:r>
      <w:proofErr w:type="gramStart"/>
      <w:r>
        <w:rPr>
          <w:i/>
        </w:rPr>
        <w:t>r</w:t>
      </w:r>
      <w:r>
        <w:t>(</w:t>
      </w:r>
      <w:proofErr w:type="gramEnd"/>
      <w:r>
        <w:t>68) = .31</w:t>
      </w:r>
    </w:p>
    <w:p w:rsidR="00E315BB" w:rsidRDefault="00E315BB" w:rsidP="00E315BB">
      <w:pPr>
        <w:pStyle w:val="MDPI31text"/>
        <w:rPr>
          <w:b/>
        </w:rPr>
      </w:pPr>
      <w:r>
        <w:t xml:space="preserve">Recalculated </w:t>
      </w:r>
      <w:r>
        <w:rPr>
          <w:i/>
        </w:rPr>
        <w:t>p =</w:t>
      </w:r>
      <w:r>
        <w:t xml:space="preserve"> .0090, </w:t>
      </w:r>
      <w:proofErr w:type="spellStart"/>
      <w:proofErr w:type="gramStart"/>
      <w:r>
        <w:rPr>
          <w:i/>
        </w:rPr>
        <w:t>df</w:t>
      </w:r>
      <w:proofErr w:type="spellEnd"/>
      <w:proofErr w:type="gramEnd"/>
      <w:r>
        <w:t xml:space="preserve"> = 68</w:t>
      </w:r>
    </w:p>
    <w:p w:rsidR="00E315BB" w:rsidRDefault="00E315BB" w:rsidP="007C019C">
      <w:pPr>
        <w:pStyle w:val="MDPI21heading1"/>
      </w:pPr>
      <w:proofErr w:type="spellStart"/>
      <w:r>
        <w:t>Kieser</w:t>
      </w:r>
      <w:proofErr w:type="spellEnd"/>
      <w:r>
        <w:t xml:space="preserve">, </w:t>
      </w:r>
      <w:proofErr w:type="spellStart"/>
      <w:r>
        <w:t>Groenefeld</w:t>
      </w:r>
      <w:proofErr w:type="spellEnd"/>
      <w:r>
        <w:t>, &amp; Da Silva (1997)</w:t>
      </w:r>
    </w:p>
    <w:p w:rsidR="00E315BB" w:rsidRDefault="00E315BB" w:rsidP="00E315BB">
      <w:pPr>
        <w:pStyle w:val="MDPI21heading1"/>
      </w:pPr>
      <w:r>
        <w:t>Predictions:</w:t>
      </w:r>
    </w:p>
    <w:p w:rsidR="00E315BB" w:rsidRPr="007C019C" w:rsidRDefault="00E315BB" w:rsidP="007C019C">
      <w:pPr>
        <w:pStyle w:val="MDPI31text"/>
      </w:pPr>
      <w:r>
        <w:t>“In the present paper we examine the levels of dental fluctuating asymmetry in children of obese and non-obese mothers, the aim being to determine whether maternal obesity results in significantly raised levels of fluctuating asymmetry. We also examine the possible effects of maternal</w:t>
      </w:r>
      <w:r>
        <w:t xml:space="preserve"> </w:t>
      </w:r>
      <w:r>
        <w:rPr>
          <w:rFonts w:ascii="Garamond" w:hAnsi="Garamond"/>
          <w:sz w:val="24"/>
          <w:szCs w:val="24"/>
        </w:rPr>
        <w:t>cigarette smoking in obese and non-obese mothers.” (p. 134)</w:t>
      </w:r>
    </w:p>
    <w:p w:rsidR="00E315BB" w:rsidRDefault="00E315BB" w:rsidP="00E315BB">
      <w:pPr>
        <w:pStyle w:val="MDPI21heading1"/>
        <w:rPr>
          <w:rFonts w:cstheme="minorBidi"/>
        </w:rPr>
      </w:pPr>
      <w:r>
        <w:t>Primary Effect:</w:t>
      </w:r>
    </w:p>
    <w:p w:rsidR="00E315BB" w:rsidRDefault="00E315BB" w:rsidP="00E315BB">
      <w:pPr>
        <w:pStyle w:val="MDPI31text"/>
      </w:pPr>
      <w:r>
        <w:t>Maternal Weight x Smoking interaction on dental FA (6 possible FA metrics: 3 teeth x 2 tooth surfaces)</w:t>
      </w:r>
    </w:p>
    <w:p w:rsidR="00E315BB" w:rsidRDefault="00E315BB" w:rsidP="00E315BB">
      <w:pPr>
        <w:pStyle w:val="MDPI21heading1"/>
      </w:pPr>
      <w:r>
        <w:t>Results:</w:t>
      </w:r>
    </w:p>
    <w:p w:rsidR="00E315BB" w:rsidRDefault="00E315BB" w:rsidP="00E315BB">
      <w:pPr>
        <w:pStyle w:val="MDPI31text"/>
      </w:pPr>
      <w:r>
        <w:t>“An analysis of variance, testing for differences in gender, body mass, smoking status and interactions between the latter two (Table 4) confirmed that the combination of obesity and smoking status was a significant predictor of fluctuating asymmetry.” (p. 135)</w:t>
      </w:r>
    </w:p>
    <w:p w:rsidR="00E315BB" w:rsidRDefault="00E315BB" w:rsidP="00E315BB">
      <w:pPr>
        <w:pStyle w:val="MDPI31text"/>
      </w:pPr>
      <w:r>
        <w:t xml:space="preserve">Table 4 contains six statistically significant effects; median statistically significant effect: </w:t>
      </w:r>
      <w:r>
        <w:rPr>
          <w:i/>
        </w:rPr>
        <w:t xml:space="preserve">p </w:t>
      </w:r>
      <w:r>
        <w:t>= .0065</w:t>
      </w:r>
    </w:p>
    <w:p w:rsidR="00E315BB" w:rsidRDefault="00E315BB" w:rsidP="00E315BB">
      <w:pPr>
        <w:pStyle w:val="MDPI31text"/>
        <w:rPr>
          <w:b/>
        </w:rPr>
      </w:pPr>
      <w:r>
        <w:lastRenderedPageBreak/>
        <w:t xml:space="preserve">Recalculated </w:t>
      </w:r>
      <w:r>
        <w:rPr>
          <w:i/>
        </w:rPr>
        <w:t>p</w:t>
      </w:r>
      <w:r>
        <w:t xml:space="preserve"> = .0065, </w:t>
      </w:r>
      <w:proofErr w:type="spellStart"/>
      <w:proofErr w:type="gramStart"/>
      <w:r>
        <w:rPr>
          <w:i/>
        </w:rPr>
        <w:t>df</w:t>
      </w:r>
      <w:proofErr w:type="spellEnd"/>
      <w:proofErr w:type="gramEnd"/>
      <w:r>
        <w:t xml:space="preserve"> = 437</w:t>
      </w:r>
    </w:p>
    <w:p w:rsidR="00E315BB" w:rsidRDefault="00E315BB" w:rsidP="007C019C">
      <w:pPr>
        <w:pStyle w:val="MDPI21heading1"/>
      </w:pPr>
      <w:proofErr w:type="spellStart"/>
      <w:r>
        <w:t>Benderlioglu</w:t>
      </w:r>
      <w:proofErr w:type="spellEnd"/>
      <w:r>
        <w:t xml:space="preserve"> &amp; Nelson (2004)</w:t>
      </w:r>
    </w:p>
    <w:p w:rsidR="00E315BB" w:rsidRDefault="00E315BB" w:rsidP="00E315BB">
      <w:pPr>
        <w:pStyle w:val="MDPI21heading1"/>
      </w:pPr>
      <w:r>
        <w:t>Predictions:</w:t>
      </w:r>
    </w:p>
    <w:p w:rsidR="00E315BB" w:rsidRDefault="00E315BB" w:rsidP="007C019C">
      <w:pPr>
        <w:pStyle w:val="MDPI31text"/>
      </w:pPr>
      <w:r>
        <w:t>“Additional relationships [such as] birth order were also investigated as covariates, all implicated to have independently contributed to FA.” (p. 299)</w:t>
      </w:r>
    </w:p>
    <w:p w:rsidR="00E315BB" w:rsidRDefault="00E315BB" w:rsidP="00E315BB">
      <w:pPr>
        <w:pStyle w:val="MDPI21heading1"/>
        <w:rPr>
          <w:rFonts w:cstheme="minorBidi"/>
        </w:rPr>
      </w:pPr>
      <w:r>
        <w:t>Primary Effect:</w:t>
      </w:r>
    </w:p>
    <w:p w:rsidR="00E315BB" w:rsidRDefault="00E315BB" w:rsidP="00E315BB">
      <w:pPr>
        <w:pStyle w:val="MDPI31text"/>
      </w:pPr>
      <w:r>
        <w:t>Main ANCOVA effect of birth order on composite FA.</w:t>
      </w:r>
    </w:p>
    <w:p w:rsidR="00E315BB" w:rsidRDefault="00E315BB" w:rsidP="00E315BB">
      <w:pPr>
        <w:pStyle w:val="MDPI21heading1"/>
      </w:pPr>
      <w:r>
        <w:t>Results:</w:t>
      </w:r>
    </w:p>
    <w:p w:rsidR="00E315BB" w:rsidRDefault="00E315BB" w:rsidP="00E315BB">
      <w:pPr>
        <w:pStyle w:val="MDPI31text"/>
      </w:pPr>
      <w:r>
        <w:t>“Birth order also had a significant effect on composite FA (</w:t>
      </w:r>
      <w:proofErr w:type="gramStart"/>
      <w:r>
        <w:t>F[</w:t>
      </w:r>
      <w:proofErr w:type="gramEnd"/>
      <w:r>
        <w:t>1,178] = 5.19, P = 0.0239.” (p. 302)</w:t>
      </w:r>
    </w:p>
    <w:p w:rsidR="00E315BB" w:rsidRDefault="00E315BB" w:rsidP="00E315BB">
      <w:pPr>
        <w:pStyle w:val="MDPI31text"/>
        <w:rPr>
          <w:b/>
        </w:rPr>
      </w:pPr>
      <w:r>
        <w:t xml:space="preserve">Recalculated </w:t>
      </w:r>
      <w:r>
        <w:rPr>
          <w:i/>
        </w:rPr>
        <w:t>p =</w:t>
      </w:r>
      <w:r>
        <w:t xml:space="preserve"> .0238, </w:t>
      </w:r>
      <w:proofErr w:type="spellStart"/>
      <w:proofErr w:type="gramStart"/>
      <w:r>
        <w:rPr>
          <w:i/>
        </w:rPr>
        <w:t>df</w:t>
      </w:r>
      <w:proofErr w:type="spellEnd"/>
      <w:proofErr w:type="gramEnd"/>
      <w:r>
        <w:t xml:space="preserve"> = 178</w:t>
      </w:r>
    </w:p>
    <w:p w:rsidR="00E315BB" w:rsidRDefault="00E315BB" w:rsidP="00E315BB">
      <w:pPr>
        <w:pStyle w:val="MDPI13authornames"/>
      </w:pPr>
      <w:r>
        <w:t xml:space="preserve">Van </w:t>
      </w:r>
      <w:proofErr w:type="spellStart"/>
      <w:r>
        <w:t>Dongen</w:t>
      </w:r>
      <w:proofErr w:type="spellEnd"/>
      <w:r>
        <w:t xml:space="preserve">, </w:t>
      </w:r>
      <w:proofErr w:type="spellStart"/>
      <w:r>
        <w:t>Wijnaendts</w:t>
      </w:r>
      <w:proofErr w:type="spellEnd"/>
      <w:r>
        <w:t xml:space="preserve">, Ten </w:t>
      </w:r>
      <w:proofErr w:type="spellStart"/>
      <w:r>
        <w:t>Broek</w:t>
      </w:r>
      <w:proofErr w:type="spellEnd"/>
      <w:r>
        <w:t xml:space="preserve"> &amp; </w:t>
      </w:r>
      <w:proofErr w:type="spellStart"/>
      <w:r>
        <w:t>Galis</w:t>
      </w:r>
      <w:proofErr w:type="spellEnd"/>
      <w:r>
        <w:t xml:space="preserve"> (2009)</w:t>
      </w:r>
    </w:p>
    <w:p w:rsidR="00E315BB" w:rsidRDefault="00E315BB" w:rsidP="00E315BB">
      <w:pPr>
        <w:pStyle w:val="MDPI21heading1"/>
      </w:pPr>
      <w:r>
        <w:t>Predictions:</w:t>
      </w:r>
    </w:p>
    <w:p w:rsidR="00E315BB" w:rsidRDefault="00E315BB" w:rsidP="00E315BB">
      <w:pPr>
        <w:pStyle w:val="MDPI31text"/>
      </w:pPr>
      <w:r>
        <w:t>“We predict increased limb bone asymmetry in both fetuses with minor and with major congenital abnormalities … However, the severity and profoundness of the major congenital abnormalities renders this latter group to correspond to fetuses suffering from the worst imaginable developmental disorders. If any, we expect an association between developmental disorders and asymmetry in this group.” (p. 1833-1834)</w:t>
      </w:r>
    </w:p>
    <w:p w:rsidR="00E315BB" w:rsidRDefault="00E315BB" w:rsidP="00E315BB">
      <w:pPr>
        <w:pStyle w:val="MDPI21heading1"/>
      </w:pPr>
      <w:r>
        <w:t>Primary Effect:</w:t>
      </w:r>
    </w:p>
    <w:p w:rsidR="00E315BB" w:rsidRDefault="00E315BB" w:rsidP="00E315BB">
      <w:pPr>
        <w:pStyle w:val="MDPI31text"/>
      </w:pPr>
      <w:r>
        <w:t>Main effect of congenital abnormality severity (none/minor vs. major) on skeletal FA (seven-trait composite).</w:t>
      </w:r>
    </w:p>
    <w:p w:rsidR="00E315BB" w:rsidRDefault="00E315BB" w:rsidP="00E315BB">
      <w:pPr>
        <w:pStyle w:val="MDPI21heading1"/>
      </w:pPr>
      <w:r>
        <w:t>Results:</w:t>
      </w:r>
    </w:p>
    <w:p w:rsidR="00E315BB" w:rsidRDefault="00E315BB" w:rsidP="00E315BB">
      <w:pPr>
        <w:pStyle w:val="MDPI31text"/>
      </w:pPr>
      <w:r>
        <w:t xml:space="preserve">“On average, the degree of asymmetry was 0.22% higher in fetuses with major (chromosomal number changes or not) congenital abnormalities compared to the fetuses with no or minor abnormalities, and this difference was highly significant (F </w:t>
      </w:r>
      <w:r>
        <w:rPr>
          <w:vertAlign w:val="subscript"/>
        </w:rPr>
        <w:t>1,439</w:t>
      </w:r>
      <w:r>
        <w:t xml:space="preserve"> =8.47, P = 0.004)” (p. 1838)</w:t>
      </w:r>
    </w:p>
    <w:p w:rsidR="00E315BB" w:rsidRDefault="00E315BB" w:rsidP="00E315BB">
      <w:pPr>
        <w:pStyle w:val="MDPI31text"/>
      </w:pPr>
      <w:r>
        <w:t xml:space="preserve">Recalculated </w:t>
      </w:r>
      <w:r>
        <w:rPr>
          <w:i/>
        </w:rPr>
        <w:t>p</w:t>
      </w:r>
      <w:r>
        <w:t xml:space="preserve"> = .0038, </w:t>
      </w:r>
      <w:proofErr w:type="spellStart"/>
      <w:proofErr w:type="gramStart"/>
      <w:r>
        <w:rPr>
          <w:i/>
        </w:rPr>
        <w:t>df</w:t>
      </w:r>
      <w:proofErr w:type="spellEnd"/>
      <w:proofErr w:type="gramEnd"/>
      <w:r>
        <w:t xml:space="preserve"> = 439</w:t>
      </w:r>
    </w:p>
    <w:p w:rsidR="00E315BB" w:rsidRDefault="00E315BB" w:rsidP="007C019C">
      <w:pPr>
        <w:pStyle w:val="MDPI21heading1"/>
      </w:pPr>
      <w:r>
        <w:t>Barden (1980)</w:t>
      </w:r>
    </w:p>
    <w:p w:rsidR="00E315BB" w:rsidRDefault="00E315BB" w:rsidP="00E315BB">
      <w:pPr>
        <w:pStyle w:val="MDPI21heading1"/>
      </w:pPr>
      <w:r>
        <w:t>Predictions:</w:t>
      </w:r>
    </w:p>
    <w:p w:rsidR="00E315BB" w:rsidRDefault="00E315BB" w:rsidP="007C019C">
      <w:pPr>
        <w:pStyle w:val="MDPI31text"/>
      </w:pPr>
      <w:r>
        <w:t>“The present study compares fluctuating dental asymmetry in Down syndrome with that of normal derived from the literature (</w:t>
      </w:r>
      <w:proofErr w:type="spellStart"/>
      <w:r>
        <w:t>Moorrees</w:t>
      </w:r>
      <w:proofErr w:type="spellEnd"/>
      <w:r>
        <w:t xml:space="preserve"> and Reed, ’64). Fluctuating dental asymmetry is used to support the contention that aneuploidy produces amplified developmental instability in Down syndrome subjects.” (p. 170) </w:t>
      </w:r>
    </w:p>
    <w:p w:rsidR="00E315BB" w:rsidRDefault="00E315BB" w:rsidP="00E315BB">
      <w:pPr>
        <w:pStyle w:val="MDPI21heading1"/>
        <w:rPr>
          <w:rFonts w:cstheme="minorBidi"/>
        </w:rPr>
      </w:pPr>
      <w:r>
        <w:t>Primary Effect:</w:t>
      </w:r>
    </w:p>
    <w:p w:rsidR="00E315BB" w:rsidRDefault="00E315BB" w:rsidP="00E315BB">
      <w:pPr>
        <w:pStyle w:val="MDPI31text"/>
      </w:pPr>
      <w:r>
        <w:t xml:space="preserve">Difference in intra-class correlation coefficients between </w:t>
      </w:r>
      <w:proofErr w:type="spellStart"/>
      <w:r>
        <w:t>mesiodistal</w:t>
      </w:r>
      <w:proofErr w:type="spellEnd"/>
      <w:r>
        <w:t xml:space="preserve"> diameters of </w:t>
      </w:r>
      <w:proofErr w:type="spellStart"/>
      <w:r>
        <w:t>antimeric</w:t>
      </w:r>
      <w:proofErr w:type="spellEnd"/>
      <w:r>
        <w:t xml:space="preserve"> teeth of those with Down syndrome and controls. </w:t>
      </w:r>
    </w:p>
    <w:p w:rsidR="00E315BB" w:rsidRDefault="00E315BB" w:rsidP="00E315BB">
      <w:pPr>
        <w:pStyle w:val="MDPI21heading1"/>
      </w:pPr>
      <w:r>
        <w:t>Results:</w:t>
      </w:r>
    </w:p>
    <w:p w:rsidR="00E315BB" w:rsidRDefault="00E315BB" w:rsidP="00E315BB">
      <w:pPr>
        <w:pStyle w:val="MDPI31text"/>
      </w:pPr>
      <w:r>
        <w:t xml:space="preserve">“Table 1 lists the correlation coefficients for </w:t>
      </w:r>
      <w:proofErr w:type="spellStart"/>
      <w:r>
        <w:t>mesiodistal</w:t>
      </w:r>
      <w:proofErr w:type="spellEnd"/>
      <w:r>
        <w:t xml:space="preserve"> crown diameters of Down syndrome subjects and normal subjects (</w:t>
      </w:r>
      <w:proofErr w:type="spellStart"/>
      <w:r>
        <w:t>Moorrees</w:t>
      </w:r>
      <w:proofErr w:type="spellEnd"/>
      <w:r>
        <w:t xml:space="preserve"> and Reed, ’64). In comparison with normal values, dental asymmetry in Down syndrome is significantly greater in 10 of the 14 teeth measured” (p. 170)</w:t>
      </w:r>
    </w:p>
    <w:p w:rsidR="00E315BB" w:rsidRDefault="00E315BB" w:rsidP="00E315BB">
      <w:pPr>
        <w:pStyle w:val="MDPI31text"/>
      </w:pPr>
      <w:r>
        <w:t xml:space="preserve">[From Table 1] Mandible I2, </w:t>
      </w:r>
      <w:proofErr w:type="spellStart"/>
      <w:r>
        <w:rPr>
          <w:i/>
        </w:rPr>
        <w:t>r</w:t>
      </w:r>
      <w:r>
        <w:rPr>
          <w:i/>
          <w:vertAlign w:val="subscript"/>
        </w:rPr>
        <w:t>Down</w:t>
      </w:r>
      <w:proofErr w:type="spellEnd"/>
      <w:r>
        <w:rPr>
          <w:vertAlign w:val="subscript"/>
        </w:rPr>
        <w:t xml:space="preserve"> </w:t>
      </w:r>
      <w:r>
        <w:t xml:space="preserve">= 0.85, </w:t>
      </w:r>
      <w:proofErr w:type="spellStart"/>
      <w:r>
        <w:rPr>
          <w:i/>
        </w:rPr>
        <w:t>r</w:t>
      </w:r>
      <w:r>
        <w:rPr>
          <w:i/>
          <w:vertAlign w:val="subscript"/>
        </w:rPr>
        <w:t>normal</w:t>
      </w:r>
      <w:proofErr w:type="spellEnd"/>
      <w:r>
        <w:t xml:space="preserve"> = 0.93 </w:t>
      </w:r>
      <w:r>
        <w:rPr>
          <w:i/>
        </w:rPr>
        <w:t>t</w:t>
      </w:r>
      <w:r>
        <w:t xml:space="preserve"> = 2.44</w:t>
      </w:r>
    </w:p>
    <w:p w:rsidR="00E315BB" w:rsidRDefault="00E315BB" w:rsidP="00E315BB">
      <w:pPr>
        <w:pStyle w:val="MDPI31text"/>
      </w:pPr>
      <w:r>
        <w:lastRenderedPageBreak/>
        <w:t xml:space="preserve">(This paper includes separate tests on each of the 14 teeth measured. We selected the median </w:t>
      </w:r>
      <w:r>
        <w:rPr>
          <w:i/>
        </w:rPr>
        <w:t>t</w:t>
      </w:r>
      <w:r>
        <w:t xml:space="preserve"> value with the larger </w:t>
      </w:r>
      <w:proofErr w:type="spellStart"/>
      <w:proofErr w:type="gramStart"/>
      <w:r>
        <w:rPr>
          <w:i/>
        </w:rPr>
        <w:t>df</w:t>
      </w:r>
      <w:proofErr w:type="spellEnd"/>
      <w:r>
        <w:t xml:space="preserve"> )</w:t>
      </w:r>
      <w:proofErr w:type="gramEnd"/>
    </w:p>
    <w:p w:rsidR="00E315BB" w:rsidRDefault="00E315BB" w:rsidP="00E315BB">
      <w:pPr>
        <w:pStyle w:val="MDPI31text"/>
      </w:pPr>
      <w:r>
        <w:t xml:space="preserve">Recalculated </w:t>
      </w:r>
      <w:r>
        <w:rPr>
          <w:i/>
        </w:rPr>
        <w:t>p</w:t>
      </w:r>
      <w:r>
        <w:t xml:space="preserve"> = .0156, </w:t>
      </w:r>
      <w:proofErr w:type="spellStart"/>
      <w:proofErr w:type="gramStart"/>
      <w:r>
        <w:rPr>
          <w:i/>
        </w:rPr>
        <w:t>df</w:t>
      </w:r>
      <w:proofErr w:type="spellEnd"/>
      <w:proofErr w:type="gramEnd"/>
      <w:r>
        <w:t xml:space="preserve"> = 190</w:t>
      </w:r>
    </w:p>
    <w:p w:rsidR="00E315BB" w:rsidRDefault="00E315BB" w:rsidP="007C019C">
      <w:pPr>
        <w:pStyle w:val="MDPI21heading1"/>
      </w:pPr>
      <w:proofErr w:type="spellStart"/>
      <w:r>
        <w:t>Gangestad</w:t>
      </w:r>
      <w:proofErr w:type="spellEnd"/>
      <w:r>
        <w:t xml:space="preserve"> &amp; </w:t>
      </w:r>
      <w:proofErr w:type="spellStart"/>
      <w:r>
        <w:t>Thornhill</w:t>
      </w:r>
      <w:proofErr w:type="spellEnd"/>
      <w:r>
        <w:t xml:space="preserve"> (2003)</w:t>
      </w:r>
    </w:p>
    <w:p w:rsidR="00E315BB" w:rsidRDefault="00E315BB" w:rsidP="00E315BB">
      <w:pPr>
        <w:pStyle w:val="MDPI21heading1"/>
      </w:pPr>
      <w:r>
        <w:t>Predictions:</w:t>
      </w:r>
    </w:p>
    <w:p w:rsidR="00E315BB" w:rsidRDefault="00E315BB" w:rsidP="00E315BB">
      <w:pPr>
        <w:pStyle w:val="MDPI31text"/>
      </w:pPr>
      <w:r>
        <w:t>“These results make most theoretical sense if, in fact, men who possess low FA also have more masculine features on average, such that male symmetry and facial masculinity tap a shared underlying quality … The current study examined the association between facial masculinity and bodily FA” (pp. 232-233).</w:t>
      </w:r>
    </w:p>
    <w:p w:rsidR="00E315BB" w:rsidRDefault="00E315BB" w:rsidP="00E315BB">
      <w:pPr>
        <w:pStyle w:val="MDPI21heading1"/>
      </w:pPr>
      <w:r>
        <w:t>Primary Effect:</w:t>
      </w:r>
    </w:p>
    <w:p w:rsidR="00E315BB" w:rsidRDefault="00E315BB" w:rsidP="00E315BB">
      <w:pPr>
        <w:pStyle w:val="MDPI31text"/>
      </w:pPr>
      <w:r>
        <w:t>Association between measure of facial masculinity and a composite measure of bodily FA.</w:t>
      </w:r>
    </w:p>
    <w:p w:rsidR="00E315BB" w:rsidRDefault="00E315BB" w:rsidP="00E315BB">
      <w:pPr>
        <w:pStyle w:val="MDPI21heading1"/>
      </w:pPr>
      <w:r>
        <w:t>Results:</w:t>
      </w:r>
    </w:p>
    <w:p w:rsidR="00E315BB" w:rsidRDefault="00E315BB" w:rsidP="007C019C">
      <w:pPr>
        <w:pStyle w:val="MDPI31text"/>
      </w:pPr>
      <w:r>
        <w:t>“Separate correlational analyses on men and women revealed that, for men, bodily FA was negatively associated with facial masculinity (</w:t>
      </w:r>
      <w:r>
        <w:rPr>
          <w:rFonts w:cs="AdvTTf90d833a.I"/>
        </w:rPr>
        <w:t xml:space="preserve">r </w:t>
      </w:r>
      <w:r>
        <w:t>=</w:t>
      </w:r>
      <w:r>
        <w:rPr>
          <w:rFonts w:cs="AdvP4C4E74"/>
        </w:rPr>
        <w:t>_</w:t>
      </w:r>
      <w:r>
        <w:t xml:space="preserve">.268, </w:t>
      </w:r>
      <w:r>
        <w:rPr>
          <w:rFonts w:cs="AdvTTf90d833a.I"/>
        </w:rPr>
        <w:t>P</w:t>
      </w:r>
      <w:r>
        <w:t>= .001; see Fig. 1).</w:t>
      </w:r>
    </w:p>
    <w:p w:rsidR="00E315BB" w:rsidRDefault="00E315BB" w:rsidP="007C019C">
      <w:pPr>
        <w:pStyle w:val="MDPI31text"/>
      </w:pPr>
      <w:r>
        <w:t xml:space="preserve">Recalculated </w:t>
      </w:r>
      <w:r>
        <w:rPr>
          <w:i/>
        </w:rPr>
        <w:t>p</w:t>
      </w:r>
      <w:r>
        <w:t xml:space="preserve"> = .0013; </w:t>
      </w:r>
      <w:proofErr w:type="spellStart"/>
      <w:proofErr w:type="gramStart"/>
      <w:r>
        <w:rPr>
          <w:i/>
        </w:rPr>
        <w:t>df</w:t>
      </w:r>
      <w:proofErr w:type="spellEnd"/>
      <w:proofErr w:type="gramEnd"/>
      <w:r>
        <w:rPr>
          <w:i/>
        </w:rPr>
        <w:t xml:space="preserve"> </w:t>
      </w:r>
      <w:r>
        <w:t>= 139</w:t>
      </w:r>
    </w:p>
    <w:p w:rsidR="00E315BB" w:rsidRDefault="00E315BB" w:rsidP="007C019C">
      <w:pPr>
        <w:pStyle w:val="MDPI21heading1"/>
        <w:rPr>
          <w:rFonts w:cstheme="minorBidi"/>
        </w:rPr>
      </w:pPr>
      <w:proofErr w:type="spellStart"/>
      <w:r>
        <w:t>Furlow</w:t>
      </w:r>
      <w:proofErr w:type="spellEnd"/>
      <w:r>
        <w:t xml:space="preserve">, </w:t>
      </w:r>
      <w:proofErr w:type="spellStart"/>
      <w:r>
        <w:t>Gangestad</w:t>
      </w:r>
      <w:proofErr w:type="spellEnd"/>
      <w:r>
        <w:t xml:space="preserve"> &amp; </w:t>
      </w:r>
      <w:proofErr w:type="spellStart"/>
      <w:r>
        <w:t>Thornhill</w:t>
      </w:r>
      <w:proofErr w:type="spellEnd"/>
      <w:r>
        <w:t xml:space="preserve"> (1997), Study 1</w:t>
      </w:r>
    </w:p>
    <w:p w:rsidR="00E315BB" w:rsidRDefault="00E315BB" w:rsidP="00E315BB">
      <w:pPr>
        <w:pStyle w:val="MDPI21heading1"/>
      </w:pPr>
      <w:r>
        <w:t>Predictions:</w:t>
      </w:r>
    </w:p>
    <w:p w:rsidR="00E315BB" w:rsidRPr="007C019C" w:rsidRDefault="00E315BB" w:rsidP="007C019C">
      <w:pPr>
        <w:pStyle w:val="MDPI31text"/>
      </w:pPr>
      <w:r>
        <w:t xml:space="preserve">“In the present research, we examined the relationship between a measure of IQ, performance on </w:t>
      </w:r>
      <w:proofErr w:type="spellStart"/>
      <w:r>
        <w:t>Cattell's</w:t>
      </w:r>
      <w:proofErr w:type="spellEnd"/>
      <w:r>
        <w:t xml:space="preserve"> culture fair intelligence test and FA to assess whether developmental stress may contribute to lower IQ within a normal adult college population. We predicted on the basis of the considerations outlined above that FA and IQ test performance would correlate negatively” (p. 823-824). </w:t>
      </w:r>
    </w:p>
    <w:p w:rsidR="00E315BB" w:rsidRDefault="00E315BB" w:rsidP="00E315BB">
      <w:pPr>
        <w:pStyle w:val="MDPI21heading1"/>
        <w:rPr>
          <w:rFonts w:cstheme="minorBidi"/>
        </w:rPr>
      </w:pPr>
      <w:r>
        <w:t>Primary Effect:</w:t>
      </w:r>
    </w:p>
    <w:p w:rsidR="00E315BB" w:rsidRDefault="00E315BB" w:rsidP="00E315BB">
      <w:pPr>
        <w:pStyle w:val="MDPI31text"/>
      </w:pPr>
      <w:r>
        <w:t xml:space="preserve">Association between body FA and test performance on the </w:t>
      </w:r>
      <w:proofErr w:type="spellStart"/>
      <w:r>
        <w:t>Cattell</w:t>
      </w:r>
      <w:proofErr w:type="spellEnd"/>
      <w:r>
        <w:t xml:space="preserve"> culture-fair test.</w:t>
      </w:r>
    </w:p>
    <w:p w:rsidR="00E315BB" w:rsidRDefault="00E315BB" w:rsidP="00E315BB">
      <w:pPr>
        <w:pStyle w:val="MDPI21heading1"/>
      </w:pPr>
      <w:r>
        <w:t>Results:</w:t>
      </w:r>
    </w:p>
    <w:p w:rsidR="00E315BB" w:rsidRDefault="00E315BB" w:rsidP="007C019C">
      <w:pPr>
        <w:pStyle w:val="MDPI31text"/>
      </w:pPr>
      <w:r>
        <w:t xml:space="preserve">“To examine the association between FA and CFIT, we first simply correlated the two measures. The Pearson product-moment correlation was </w:t>
      </w:r>
      <w:r>
        <w:rPr>
          <w:rFonts w:cs="CMSY10"/>
          <w:i/>
          <w:iCs/>
        </w:rPr>
        <w:t>−</w:t>
      </w:r>
      <w:r>
        <w:t>0</w:t>
      </w:r>
      <w:r>
        <w:rPr>
          <w:rFonts w:cs="CMMI10"/>
          <w:i/>
          <w:iCs/>
        </w:rPr>
        <w:t>.</w:t>
      </w:r>
      <w:r>
        <w:t xml:space="preserve">214, </w:t>
      </w:r>
      <w:proofErr w:type="gramStart"/>
      <w:r>
        <w:rPr>
          <w:rFonts w:cs="CMMI10"/>
          <w:i/>
          <w:iCs/>
        </w:rPr>
        <w:t>t</w:t>
      </w:r>
      <w:r>
        <w:t>(</w:t>
      </w:r>
      <w:proofErr w:type="gramEnd"/>
      <w:r>
        <w:t>110) = 2</w:t>
      </w:r>
      <w:r>
        <w:rPr>
          <w:rFonts w:cs="CMMI10"/>
          <w:i/>
          <w:iCs/>
        </w:rPr>
        <w:t>.</w:t>
      </w:r>
      <w:r>
        <w:t xml:space="preserve">30, </w:t>
      </w:r>
      <w:r>
        <w:rPr>
          <w:rFonts w:cs="CMMI10"/>
          <w:i/>
          <w:iCs/>
        </w:rPr>
        <w:t xml:space="preserve">p </w:t>
      </w:r>
      <w:r>
        <w:t>= 0</w:t>
      </w:r>
      <w:r>
        <w:rPr>
          <w:rFonts w:cs="CMMI10"/>
          <w:i/>
          <w:iCs/>
        </w:rPr>
        <w:t>:</w:t>
      </w:r>
      <w:r>
        <w:t>012 (one-tailed)” (p. 825).</w:t>
      </w:r>
    </w:p>
    <w:p w:rsidR="00E315BB" w:rsidRDefault="00E315BB" w:rsidP="007C019C">
      <w:pPr>
        <w:pStyle w:val="MDPI31text"/>
      </w:pPr>
      <w:r>
        <w:t xml:space="preserve">Recalculated </w:t>
      </w:r>
      <w:r>
        <w:rPr>
          <w:i/>
        </w:rPr>
        <w:t xml:space="preserve">p </w:t>
      </w:r>
      <w:r>
        <w:t xml:space="preserve">= .0233; </w:t>
      </w:r>
      <w:proofErr w:type="spellStart"/>
      <w:proofErr w:type="gramStart"/>
      <w:r>
        <w:rPr>
          <w:i/>
        </w:rPr>
        <w:t>df</w:t>
      </w:r>
      <w:proofErr w:type="spellEnd"/>
      <w:proofErr w:type="gramEnd"/>
      <w:r>
        <w:rPr>
          <w:i/>
        </w:rPr>
        <w:t xml:space="preserve"> </w:t>
      </w:r>
      <w:r>
        <w:t>= 110</w:t>
      </w:r>
    </w:p>
    <w:p w:rsidR="00E315BB" w:rsidRDefault="00E315BB" w:rsidP="007C019C">
      <w:pPr>
        <w:pStyle w:val="MDPI21heading1"/>
        <w:rPr>
          <w:rFonts w:cstheme="minorBidi"/>
        </w:rPr>
      </w:pPr>
      <w:proofErr w:type="spellStart"/>
      <w:r>
        <w:t>Furlow</w:t>
      </w:r>
      <w:proofErr w:type="spellEnd"/>
      <w:r>
        <w:t xml:space="preserve">, </w:t>
      </w:r>
      <w:proofErr w:type="spellStart"/>
      <w:r>
        <w:t>Gangestad</w:t>
      </w:r>
      <w:proofErr w:type="spellEnd"/>
      <w:r>
        <w:t xml:space="preserve"> &amp; </w:t>
      </w:r>
      <w:proofErr w:type="spellStart"/>
      <w:r>
        <w:t>Thornhill</w:t>
      </w:r>
      <w:proofErr w:type="spellEnd"/>
      <w:r>
        <w:t xml:space="preserve"> (1997), Study 1</w:t>
      </w:r>
    </w:p>
    <w:p w:rsidR="00E315BB" w:rsidRDefault="00E315BB" w:rsidP="00E315BB">
      <w:pPr>
        <w:pStyle w:val="MDPI21heading1"/>
      </w:pPr>
      <w:r>
        <w:t>Predictions:</w:t>
      </w:r>
    </w:p>
    <w:p w:rsidR="00E315BB" w:rsidRDefault="00E315BB" w:rsidP="00E315BB">
      <w:pPr>
        <w:pStyle w:val="MDPI31text"/>
      </w:pPr>
      <w:r>
        <w:t>See above.</w:t>
      </w:r>
    </w:p>
    <w:p w:rsidR="00E315BB" w:rsidRDefault="00E315BB" w:rsidP="00E315BB">
      <w:pPr>
        <w:pStyle w:val="MDPI21heading1"/>
      </w:pPr>
      <w:r>
        <w:t>Primary Effect:</w:t>
      </w:r>
    </w:p>
    <w:p w:rsidR="00E315BB" w:rsidRDefault="00E315BB" w:rsidP="00E315BB">
      <w:pPr>
        <w:pStyle w:val="MDPI31text"/>
      </w:pPr>
      <w:r>
        <w:t xml:space="preserve">Association between body FA and test performance on the </w:t>
      </w:r>
      <w:proofErr w:type="spellStart"/>
      <w:r>
        <w:t>Cattell</w:t>
      </w:r>
      <w:proofErr w:type="spellEnd"/>
      <w:r>
        <w:t xml:space="preserve"> culture-fair test.</w:t>
      </w:r>
    </w:p>
    <w:p w:rsidR="00E315BB" w:rsidRDefault="00E315BB" w:rsidP="00E315BB">
      <w:pPr>
        <w:pStyle w:val="MDPI21heading1"/>
      </w:pPr>
      <w:r>
        <w:t>Results:</w:t>
      </w:r>
    </w:p>
    <w:p w:rsidR="00E315BB" w:rsidRDefault="00E315BB" w:rsidP="007C019C">
      <w:pPr>
        <w:pStyle w:val="MDPI31text"/>
      </w:pPr>
      <w:r>
        <w:t xml:space="preserve">“In the replication study, the correlation between FA and CFIT scores was </w:t>
      </w:r>
      <w:r>
        <w:rPr>
          <w:rFonts w:cs="CMSY10"/>
          <w:i/>
          <w:iCs/>
        </w:rPr>
        <w:t>−</w:t>
      </w:r>
      <w:r>
        <w:t>0</w:t>
      </w:r>
      <w:r>
        <w:rPr>
          <w:rFonts w:cs="CMMI10"/>
          <w:i/>
          <w:iCs/>
        </w:rPr>
        <w:t>.</w:t>
      </w:r>
      <w:r>
        <w:t xml:space="preserve">244, </w:t>
      </w:r>
      <w:proofErr w:type="gramStart"/>
      <w:r>
        <w:rPr>
          <w:rFonts w:cs="CMMI10"/>
          <w:i/>
          <w:iCs/>
        </w:rPr>
        <w:t>t</w:t>
      </w:r>
      <w:r>
        <w:t>(</w:t>
      </w:r>
      <w:proofErr w:type="gramEnd"/>
      <w:r>
        <w:t>122) = 2</w:t>
      </w:r>
      <w:r>
        <w:rPr>
          <w:rFonts w:cs="CMMI10"/>
          <w:i/>
          <w:iCs/>
        </w:rPr>
        <w:t>.</w:t>
      </w:r>
      <w:r>
        <w:t xml:space="preserve">78, </w:t>
      </w:r>
      <w:r>
        <w:rPr>
          <w:rFonts w:cs="CMMI10"/>
          <w:i/>
          <w:iCs/>
        </w:rPr>
        <w:t xml:space="preserve">p </w:t>
      </w:r>
      <w:r>
        <w:t>= 0</w:t>
      </w:r>
      <w:r>
        <w:rPr>
          <w:rFonts w:cs="CMMI10"/>
          <w:i/>
          <w:iCs/>
        </w:rPr>
        <w:t>:</w:t>
      </w:r>
      <w:r>
        <w:t>0031 (one-tailed) (see Figure 2)” (p. 826).</w:t>
      </w:r>
    </w:p>
    <w:p w:rsidR="00E315BB" w:rsidRDefault="00E315BB" w:rsidP="007C019C">
      <w:pPr>
        <w:pStyle w:val="MDPI31text"/>
      </w:pPr>
      <w:r>
        <w:t xml:space="preserve">Recalculated </w:t>
      </w:r>
      <w:r>
        <w:rPr>
          <w:i/>
        </w:rPr>
        <w:t>p</w:t>
      </w:r>
      <w:r>
        <w:t xml:space="preserve"> = .0063; </w:t>
      </w:r>
      <w:proofErr w:type="spellStart"/>
      <w:proofErr w:type="gramStart"/>
      <w:r>
        <w:rPr>
          <w:i/>
        </w:rPr>
        <w:t>df</w:t>
      </w:r>
      <w:proofErr w:type="spellEnd"/>
      <w:proofErr w:type="gramEnd"/>
      <w:r>
        <w:t xml:space="preserve"> = 122</w:t>
      </w:r>
    </w:p>
    <w:p w:rsidR="00E315BB" w:rsidRDefault="00E315BB" w:rsidP="007C019C">
      <w:pPr>
        <w:pStyle w:val="MDPI21heading1"/>
        <w:rPr>
          <w:rFonts w:cstheme="minorBidi"/>
        </w:rPr>
      </w:pPr>
      <w:proofErr w:type="spellStart"/>
      <w:r>
        <w:lastRenderedPageBreak/>
        <w:t>Thoma</w:t>
      </w:r>
      <w:proofErr w:type="spellEnd"/>
      <w:r>
        <w:t xml:space="preserve">, Yeo, </w:t>
      </w:r>
      <w:proofErr w:type="spellStart"/>
      <w:r>
        <w:t>Gangestad</w:t>
      </w:r>
      <w:proofErr w:type="spellEnd"/>
      <w:r>
        <w:t xml:space="preserve">, </w:t>
      </w:r>
      <w:proofErr w:type="spellStart"/>
      <w:r>
        <w:t>Halgren</w:t>
      </w:r>
      <w:proofErr w:type="spellEnd"/>
      <w:r>
        <w:t xml:space="preserve">, Sanchez &amp; </w:t>
      </w:r>
      <w:proofErr w:type="spellStart"/>
      <w:r>
        <w:t>Lewine</w:t>
      </w:r>
      <w:proofErr w:type="spellEnd"/>
      <w:r>
        <w:t xml:space="preserve"> (2005)</w:t>
      </w:r>
    </w:p>
    <w:p w:rsidR="00E315BB" w:rsidRDefault="00E315BB" w:rsidP="00E315BB">
      <w:pPr>
        <w:pStyle w:val="MDPI21heading1"/>
      </w:pPr>
      <w:r>
        <w:t>Predictions:</w:t>
      </w:r>
    </w:p>
    <w:p w:rsidR="00E315BB" w:rsidRDefault="00E315BB" w:rsidP="00E315BB">
      <w:pPr>
        <w:pStyle w:val="MDPI31text"/>
      </w:pPr>
      <w:r>
        <w:t>Sought to replicate (our interest) and extend previously found associations between FA and intelligence.</w:t>
      </w:r>
    </w:p>
    <w:p w:rsidR="00E315BB" w:rsidRDefault="00E315BB" w:rsidP="00E315BB">
      <w:pPr>
        <w:pStyle w:val="MDPI21heading1"/>
      </w:pPr>
      <w:r>
        <w:t>Primary Effect:</w:t>
      </w:r>
    </w:p>
    <w:p w:rsidR="00E315BB" w:rsidRDefault="00E315BB" w:rsidP="00E315BB">
      <w:pPr>
        <w:pStyle w:val="MDPI31text"/>
      </w:pPr>
      <w:r>
        <w:t>Association between FA and composite measure of general intelligence.</w:t>
      </w:r>
    </w:p>
    <w:p w:rsidR="00E315BB" w:rsidRDefault="00E315BB" w:rsidP="00E315BB">
      <w:pPr>
        <w:pStyle w:val="MDPI21heading1"/>
      </w:pPr>
      <w:r>
        <w:t>Results:</w:t>
      </w:r>
    </w:p>
    <w:p w:rsidR="00E315BB" w:rsidRDefault="00E315BB" w:rsidP="007C019C">
      <w:pPr>
        <w:pStyle w:val="MDPI31text"/>
      </w:pPr>
      <w:r>
        <w:t xml:space="preserve">“As predicted, FA was also significantly associated with RAPM scores, </w:t>
      </w:r>
      <w:r>
        <w:rPr>
          <w:rFonts w:cs="AdvTTf90d833a.I"/>
        </w:rPr>
        <w:t>r</w:t>
      </w:r>
      <w:r>
        <w:t>=</w:t>
      </w:r>
      <w:r>
        <w:rPr>
          <w:rFonts w:cs="AdvP4C4E74"/>
        </w:rPr>
        <w:t>-</w:t>
      </w:r>
      <w:r>
        <w:t xml:space="preserve">0.49, </w:t>
      </w:r>
      <w:r>
        <w:rPr>
          <w:rFonts w:cs="AdvTTf90d833a.I"/>
        </w:rPr>
        <w:t>p</w:t>
      </w:r>
      <w:r>
        <w:t xml:space="preserve">=0.017 (see </w:t>
      </w:r>
      <w:r>
        <w:rPr>
          <w:color w:val="0000FF"/>
        </w:rPr>
        <w:t>Fig. 3</w:t>
      </w:r>
      <w:r>
        <w:t xml:space="preserve">), and the general intelligence component, </w:t>
      </w:r>
      <w:r>
        <w:rPr>
          <w:rFonts w:cs="AdvTTf90d833a.I"/>
        </w:rPr>
        <w:t>r</w:t>
      </w:r>
      <w:r>
        <w:t>=</w:t>
      </w:r>
      <w:r>
        <w:rPr>
          <w:rFonts w:cs="AdvP4C4E74"/>
        </w:rPr>
        <w:t>-</w:t>
      </w:r>
      <w:r>
        <w:t xml:space="preserve">0.51, </w:t>
      </w:r>
      <w:r>
        <w:rPr>
          <w:rFonts w:cs="AdvTTf90d833a.I"/>
        </w:rPr>
        <w:t>p</w:t>
      </w:r>
      <w:r>
        <w:t>=0.013” (p. 33). (We used the general intelligence component of multiple tests, as it is expected to be a better measure of general intelligence that the single test, the RAPM.)</w:t>
      </w:r>
    </w:p>
    <w:p w:rsidR="00E315BB" w:rsidRDefault="00E315BB" w:rsidP="007C019C">
      <w:pPr>
        <w:pStyle w:val="MDPI31text"/>
      </w:pPr>
      <w:r>
        <w:t xml:space="preserve">Recalculated </w:t>
      </w:r>
      <w:r>
        <w:rPr>
          <w:i/>
        </w:rPr>
        <w:t>p</w:t>
      </w:r>
      <w:r>
        <w:t xml:space="preserve"> = .0257; </w:t>
      </w:r>
      <w:proofErr w:type="spellStart"/>
      <w:proofErr w:type="gramStart"/>
      <w:r>
        <w:rPr>
          <w:i/>
        </w:rPr>
        <w:t>df</w:t>
      </w:r>
      <w:proofErr w:type="spellEnd"/>
      <w:proofErr w:type="gramEnd"/>
      <w:r>
        <w:rPr>
          <w:i/>
        </w:rPr>
        <w:t xml:space="preserve"> </w:t>
      </w:r>
      <w:r>
        <w:t>= 17</w:t>
      </w:r>
    </w:p>
    <w:p w:rsidR="00E315BB" w:rsidRDefault="00E315BB" w:rsidP="007C019C">
      <w:pPr>
        <w:pStyle w:val="MDPI21heading1"/>
        <w:rPr>
          <w:rFonts w:cstheme="minorBidi"/>
          <w:color w:val="auto"/>
        </w:rPr>
      </w:pPr>
      <w:proofErr w:type="spellStart"/>
      <w:r>
        <w:t>Thoma</w:t>
      </w:r>
      <w:proofErr w:type="spellEnd"/>
      <w:r>
        <w:t xml:space="preserve"> (2008)</w:t>
      </w:r>
    </w:p>
    <w:p w:rsidR="00E315BB" w:rsidRDefault="00E315BB" w:rsidP="00E315BB">
      <w:pPr>
        <w:pStyle w:val="MDPI21heading1"/>
      </w:pPr>
      <w:r>
        <w:t>Predictions:</w:t>
      </w:r>
    </w:p>
    <w:p w:rsidR="00E315BB" w:rsidRDefault="00E315BB" w:rsidP="007C019C">
      <w:pPr>
        <w:pStyle w:val="MDPI31text"/>
      </w:pPr>
      <w:r>
        <w:t xml:space="preserve">“In an unselected sample of university students, we investigated whether individuals scoring relatively higher on </w:t>
      </w:r>
      <w:proofErr w:type="spellStart"/>
      <w:r>
        <w:t>schizotypy</w:t>
      </w:r>
      <w:proofErr w:type="spellEnd"/>
      <w:r>
        <w:t xml:space="preserve"> scales would have increased FA and MPAs. We predicted positive correlations between markers of DI and </w:t>
      </w:r>
      <w:proofErr w:type="spellStart"/>
      <w:r>
        <w:t>schizotypy</w:t>
      </w:r>
      <w:proofErr w:type="spellEnd"/>
      <w:r>
        <w:t>” (p. 588).</w:t>
      </w:r>
    </w:p>
    <w:p w:rsidR="00E315BB" w:rsidRDefault="00E315BB" w:rsidP="00E315BB">
      <w:pPr>
        <w:pStyle w:val="MDPI21heading1"/>
        <w:rPr>
          <w:rFonts w:cstheme="minorBidi"/>
        </w:rPr>
      </w:pPr>
      <w:r>
        <w:t>Primary Effect:</w:t>
      </w:r>
    </w:p>
    <w:p w:rsidR="00E315BB" w:rsidRDefault="00E315BB" w:rsidP="00E315BB">
      <w:pPr>
        <w:pStyle w:val="MDPI31text"/>
      </w:pPr>
      <w:r>
        <w:t xml:space="preserve">Association between body FA and a composite measure of </w:t>
      </w:r>
      <w:proofErr w:type="spellStart"/>
      <w:r>
        <w:t>schizotypy</w:t>
      </w:r>
      <w:proofErr w:type="spellEnd"/>
      <w:r>
        <w:t>.</w:t>
      </w:r>
    </w:p>
    <w:p w:rsidR="00E315BB" w:rsidRDefault="00E315BB" w:rsidP="00E315BB">
      <w:pPr>
        <w:pStyle w:val="MDPI21heading1"/>
      </w:pPr>
      <w:r>
        <w:t>Results:</w:t>
      </w:r>
    </w:p>
    <w:p w:rsidR="00E315BB" w:rsidRDefault="007C019C" w:rsidP="00E315BB">
      <w:pPr>
        <w:pStyle w:val="MDPI31text"/>
        <w:rPr>
          <w:i/>
        </w:rPr>
      </w:pPr>
      <w:r>
        <w:t>“</w:t>
      </w:r>
      <w:r w:rsidR="00E315BB">
        <w:t xml:space="preserve">FA correlated significantly and positively with </w:t>
      </w:r>
      <w:proofErr w:type="spellStart"/>
      <w:r w:rsidR="00E315BB">
        <w:t>Schizotypy</w:t>
      </w:r>
      <w:proofErr w:type="spellEnd"/>
      <w:r w:rsidR="00E315BB">
        <w:t xml:space="preserve"> (</w:t>
      </w:r>
      <w:r w:rsidR="00E315BB">
        <w:rPr>
          <w:rFonts w:cs="TimesNewRomanPS-ItalicMT"/>
          <w:i/>
          <w:iCs/>
        </w:rPr>
        <w:t xml:space="preserve">r </w:t>
      </w:r>
      <w:r w:rsidR="00E315BB">
        <w:t xml:space="preserve">= .23, </w:t>
      </w:r>
      <w:r w:rsidR="00E315BB">
        <w:rPr>
          <w:rFonts w:cs="TimesNewRomanPS-ItalicMT"/>
          <w:i/>
          <w:iCs/>
        </w:rPr>
        <w:t xml:space="preserve">p </w:t>
      </w:r>
      <w:r w:rsidR="00E315BB">
        <w:t>= .03)</w:t>
      </w:r>
      <w:proofErr w:type="gramStart"/>
      <w:r w:rsidR="00E315BB">
        <w:t>,…</w:t>
      </w:r>
      <w:proofErr w:type="gramEnd"/>
      <w:r w:rsidR="00E315BB">
        <w:t>” (p. 589).</w:t>
      </w:r>
    </w:p>
    <w:p w:rsidR="00E315BB" w:rsidRDefault="00E315BB" w:rsidP="00E315BB">
      <w:pPr>
        <w:pStyle w:val="MDPI31text"/>
      </w:pPr>
      <w:r>
        <w:t xml:space="preserve">Recalculated </w:t>
      </w:r>
      <w:r>
        <w:rPr>
          <w:i/>
        </w:rPr>
        <w:t xml:space="preserve">p </w:t>
      </w:r>
      <w:r>
        <w:t xml:space="preserve">= .0414, </w:t>
      </w:r>
      <w:proofErr w:type="spellStart"/>
      <w:proofErr w:type="gramStart"/>
      <w:r>
        <w:rPr>
          <w:i/>
        </w:rPr>
        <w:t>df</w:t>
      </w:r>
      <w:proofErr w:type="spellEnd"/>
      <w:proofErr w:type="gramEnd"/>
      <w:r>
        <w:rPr>
          <w:i/>
        </w:rPr>
        <w:t xml:space="preserve"> </w:t>
      </w:r>
      <w:r>
        <w:t>= 77.</w:t>
      </w:r>
    </w:p>
    <w:p w:rsidR="00E315BB" w:rsidRDefault="00E315BB" w:rsidP="00E315BB">
      <w:pPr>
        <w:pStyle w:val="MDPI21heading1"/>
      </w:pPr>
      <w:proofErr w:type="spellStart"/>
      <w:r>
        <w:t>Prokosch</w:t>
      </w:r>
      <w:proofErr w:type="spellEnd"/>
      <w:r>
        <w:t>, Yeo &amp; Miller (2005)</w:t>
      </w:r>
    </w:p>
    <w:p w:rsidR="00E315BB" w:rsidRDefault="00E315BB" w:rsidP="00E315BB">
      <w:pPr>
        <w:pStyle w:val="MDPI21heading1"/>
      </w:pPr>
      <w:r>
        <w:t>Predictions:</w:t>
      </w:r>
    </w:p>
    <w:p w:rsidR="00E315BB" w:rsidRDefault="007C019C" w:rsidP="00E315BB">
      <w:pPr>
        <w:pStyle w:val="MDPI31text"/>
      </w:pPr>
      <w:r>
        <w:t>“</w:t>
      </w:r>
      <w:proofErr w:type="gramStart"/>
      <w:r w:rsidR="00E315BB">
        <w:t>cognitive</w:t>
      </w:r>
      <w:proofErr w:type="gramEnd"/>
      <w:r w:rsidR="00E315BB">
        <w:t xml:space="preserve"> tests with higher g-loadings should show higher correlations with body symmetry.” (p. 205)</w:t>
      </w:r>
    </w:p>
    <w:p w:rsidR="00E315BB" w:rsidRDefault="00E315BB" w:rsidP="00E315BB">
      <w:pPr>
        <w:pStyle w:val="MDPI21heading1"/>
      </w:pPr>
      <w:r>
        <w:t>Primary Effect:</w:t>
      </w:r>
    </w:p>
    <w:p w:rsidR="00E315BB" w:rsidRDefault="00E315BB" w:rsidP="00E315BB">
      <w:pPr>
        <w:pStyle w:val="MDPI31text"/>
        <w:rPr>
          <w:i/>
        </w:rPr>
      </w:pPr>
      <w:r>
        <w:t>Association between body FA and the Raven Advanced Progressive Matrices</w:t>
      </w:r>
      <w:r>
        <w:rPr>
          <w:rFonts w:cs="AdvTT5843c571"/>
        </w:rPr>
        <w:t>.</w:t>
      </w:r>
    </w:p>
    <w:p w:rsidR="00E315BB" w:rsidRDefault="00E315BB" w:rsidP="00E315BB">
      <w:pPr>
        <w:pStyle w:val="MDPI21heading1"/>
      </w:pPr>
      <w:r>
        <w:t>Results:</w:t>
      </w:r>
    </w:p>
    <w:p w:rsidR="00E315BB" w:rsidRPr="007C019C" w:rsidRDefault="007C019C" w:rsidP="007C019C">
      <w:pPr>
        <w:pStyle w:val="MDPI31text"/>
      </w:pPr>
      <w:r>
        <w:rPr>
          <w:i/>
        </w:rPr>
        <w:t>“</w:t>
      </w:r>
      <w:proofErr w:type="gramStart"/>
      <w:r w:rsidR="00E315BB">
        <w:t>we</w:t>
      </w:r>
      <w:proofErr w:type="gramEnd"/>
      <w:r w:rsidR="00E315BB">
        <w:t xml:space="preserve"> found a 0.39 raw correlation between our index of </w:t>
      </w:r>
      <w:proofErr w:type="spellStart"/>
      <w:r w:rsidR="00E315BB">
        <w:t>morpho</w:t>
      </w:r>
      <w:proofErr w:type="spellEnd"/>
      <w:r>
        <w:t xml:space="preserve"> </w:t>
      </w:r>
      <w:r w:rsidR="00E315BB">
        <w:t xml:space="preserve">developmental stability (the 10-trait composite score of body symmetry) and our best index of neurodevelopmental stability (i.e., our most highly </w:t>
      </w:r>
      <w:r w:rsidR="00E315BB">
        <w:rPr>
          <w:rFonts w:cs="AdvTTf90d833a.I"/>
        </w:rPr>
        <w:t>g</w:t>
      </w:r>
      <w:r w:rsidR="00E315BB">
        <w:t>-loaded test, Raven Advanced Progressive Matrices).” (pp. 206-207)</w:t>
      </w:r>
    </w:p>
    <w:p w:rsidR="00E315BB" w:rsidRPr="007C019C" w:rsidRDefault="00E315BB" w:rsidP="007C019C">
      <w:pPr>
        <w:pStyle w:val="MDPI31text"/>
      </w:pPr>
      <w:r>
        <w:t xml:space="preserve">Recalculated </w:t>
      </w:r>
      <w:r>
        <w:rPr>
          <w:i/>
        </w:rPr>
        <w:t>p</w:t>
      </w:r>
      <w:r>
        <w:t xml:space="preserve"> = .0004, </w:t>
      </w:r>
      <w:proofErr w:type="spellStart"/>
      <w:proofErr w:type="gramStart"/>
      <w:r>
        <w:rPr>
          <w:i/>
        </w:rPr>
        <w:t>df</w:t>
      </w:r>
      <w:proofErr w:type="spellEnd"/>
      <w:proofErr w:type="gramEnd"/>
      <w:r>
        <w:t xml:space="preserve"> = 76</w:t>
      </w:r>
    </w:p>
    <w:p w:rsidR="00E315BB" w:rsidRDefault="00E315BB" w:rsidP="00E315BB">
      <w:pPr>
        <w:pStyle w:val="MDPI21heading1"/>
        <w:rPr>
          <w:color w:val="auto"/>
        </w:rPr>
      </w:pPr>
      <w:proofErr w:type="spellStart"/>
      <w:r>
        <w:t>Luxen</w:t>
      </w:r>
      <w:proofErr w:type="spellEnd"/>
      <w:r>
        <w:t xml:space="preserve"> &amp; </w:t>
      </w:r>
      <w:proofErr w:type="spellStart"/>
      <w:r>
        <w:t>Buunk</w:t>
      </w:r>
      <w:proofErr w:type="spellEnd"/>
      <w:r>
        <w:t xml:space="preserve"> (2006)</w:t>
      </w:r>
    </w:p>
    <w:p w:rsidR="00E315BB" w:rsidRDefault="00E315BB" w:rsidP="007C019C">
      <w:pPr>
        <w:pStyle w:val="MDPI21heading1"/>
      </w:pPr>
      <w:r>
        <w:t>Predictions:</w:t>
      </w:r>
    </w:p>
    <w:p w:rsidR="00E315BB" w:rsidRDefault="00E315BB" w:rsidP="00E315BB">
      <w:pPr>
        <w:pStyle w:val="MDPI31text"/>
      </w:pPr>
      <w:r>
        <w:lastRenderedPageBreak/>
        <w:t>“We expected g to be related to developmental quality as indexed by Fluctuating Asymmetry” (p. 897)</w:t>
      </w:r>
    </w:p>
    <w:p w:rsidR="00E315BB" w:rsidRDefault="00E315BB" w:rsidP="00E315BB">
      <w:pPr>
        <w:pStyle w:val="MDPI21heading1"/>
      </w:pPr>
      <w:r>
        <w:t>Primary Effect:</w:t>
      </w:r>
    </w:p>
    <w:p w:rsidR="00E315BB" w:rsidRDefault="00E315BB" w:rsidP="00E315BB">
      <w:pPr>
        <w:pStyle w:val="MDPI31text"/>
      </w:pPr>
      <w:r>
        <w:t>Association between body FA and intelligence (g).</w:t>
      </w:r>
    </w:p>
    <w:p w:rsidR="00E315BB" w:rsidRDefault="00E315BB" w:rsidP="00E315BB">
      <w:pPr>
        <w:pStyle w:val="MDPI21heading1"/>
      </w:pPr>
      <w:r>
        <w:t>Results:</w:t>
      </w:r>
    </w:p>
    <w:p w:rsidR="00E315BB" w:rsidRDefault="00E315BB" w:rsidP="00E315BB">
      <w:pPr>
        <w:pStyle w:val="MDPI31text"/>
      </w:pPr>
      <w:r>
        <w:t>“The effect of FA on g was statistically significant (</w:t>
      </w:r>
      <w:r>
        <w:rPr>
          <w:i/>
        </w:rPr>
        <w:t>t</w:t>
      </w:r>
      <w:r>
        <w:t xml:space="preserve"> = -2.13, </w:t>
      </w:r>
      <w:r>
        <w:rPr>
          <w:i/>
        </w:rPr>
        <w:t>p</w:t>
      </w:r>
      <w:r>
        <w:t xml:space="preserve"> = .037).” (p. 900)</w:t>
      </w:r>
    </w:p>
    <w:p w:rsidR="00E315BB" w:rsidRDefault="00E315BB" w:rsidP="00E315BB">
      <w:pPr>
        <w:pStyle w:val="MDPI31text"/>
      </w:pPr>
      <w:r>
        <w:t xml:space="preserve">Recalculated </w:t>
      </w:r>
      <w:r>
        <w:rPr>
          <w:i/>
        </w:rPr>
        <w:t>p</w:t>
      </w:r>
      <w:r>
        <w:t xml:space="preserve"> = .0364, </w:t>
      </w:r>
      <w:proofErr w:type="spellStart"/>
      <w:proofErr w:type="gramStart"/>
      <w:r>
        <w:rPr>
          <w:i/>
        </w:rPr>
        <w:t>df</w:t>
      </w:r>
      <w:proofErr w:type="spellEnd"/>
      <w:proofErr w:type="gramEnd"/>
      <w:r>
        <w:t xml:space="preserve"> = 76</w:t>
      </w:r>
    </w:p>
    <w:p w:rsidR="00E315BB" w:rsidRDefault="00E315BB" w:rsidP="00E315BB">
      <w:pPr>
        <w:pStyle w:val="MDPI21heading1"/>
      </w:pPr>
      <w:r>
        <w:t>Bates (2006), Study 1</w:t>
      </w:r>
    </w:p>
    <w:p w:rsidR="00E315BB" w:rsidRDefault="00E315BB" w:rsidP="007C019C">
      <w:pPr>
        <w:pStyle w:val="MDPI21heading1"/>
      </w:pPr>
      <w:r>
        <w:t xml:space="preserve">Predictions: </w:t>
      </w:r>
    </w:p>
    <w:p w:rsidR="00E315BB" w:rsidRDefault="00E315BB" w:rsidP="007C019C">
      <w:pPr>
        <w:pStyle w:val="MDPI31text"/>
      </w:pPr>
      <w:r>
        <w:t>“The first hypothesis tested in the present report was that this [negative] FA</w:t>
      </w:r>
      <w:r>
        <w:rPr>
          <w:rFonts w:cs="AdvTT6120e2aa+20"/>
        </w:rPr>
        <w:t>–</w:t>
      </w:r>
      <w:r>
        <w:t>IQ correlation would be replicable in an independent sample.” (p. 42)</w:t>
      </w:r>
    </w:p>
    <w:p w:rsidR="00E315BB" w:rsidRPr="007C019C" w:rsidRDefault="00E315BB" w:rsidP="007C019C">
      <w:pPr>
        <w:pStyle w:val="MDPI21heading1"/>
        <w:rPr>
          <w:rFonts w:cstheme="minorBidi"/>
        </w:rPr>
      </w:pPr>
      <w:r>
        <w:t xml:space="preserve">Primary Effect: </w:t>
      </w:r>
    </w:p>
    <w:p w:rsidR="00E315BB" w:rsidRPr="007C019C" w:rsidRDefault="00E315BB" w:rsidP="007C019C">
      <w:pPr>
        <w:pStyle w:val="MDPI31text"/>
      </w:pPr>
      <w:r>
        <w:t>Correlation between Raven Progressive Matrices score and composite FA (6 features)</w:t>
      </w:r>
    </w:p>
    <w:p w:rsidR="00E315BB" w:rsidRDefault="00E315BB" w:rsidP="00E315BB">
      <w:pPr>
        <w:pStyle w:val="MDPI21heading1"/>
        <w:rPr>
          <w:rFonts w:cstheme="minorBidi"/>
        </w:rPr>
      </w:pPr>
      <w:r>
        <w:t xml:space="preserve">Results: </w:t>
      </w:r>
    </w:p>
    <w:p w:rsidR="00E315BB" w:rsidRDefault="00E315BB" w:rsidP="00E315BB">
      <w:pPr>
        <w:pStyle w:val="MDPI31text"/>
      </w:pPr>
      <w:r>
        <w:t>“The core hypothesis that FA would predict Raven scores was supported in a regression analysis [</w:t>
      </w:r>
      <w:r>
        <w:rPr>
          <w:rFonts w:cs="AdvTT50a2f13e.I"/>
        </w:rPr>
        <w:t>R</w:t>
      </w:r>
      <w:r>
        <w:rPr>
          <w:vertAlign w:val="superscript"/>
        </w:rPr>
        <w:t>2</w:t>
      </w:r>
      <w:r>
        <w:t xml:space="preserve"> of 0.185</w:t>
      </w:r>
      <w:proofErr w:type="gramStart"/>
      <w:r>
        <w:t>,</w:t>
      </w:r>
      <w:r>
        <w:rPr>
          <w:rFonts w:cs="AdvTT50a2f13e.I"/>
        </w:rPr>
        <w:t>F</w:t>
      </w:r>
      <w:proofErr w:type="gramEnd"/>
      <w:r>
        <w:t xml:space="preserve">(1,96)=21.8, </w:t>
      </w:r>
      <w:r>
        <w:rPr>
          <w:rFonts w:cs="AdvTT50a2f13e.I"/>
        </w:rPr>
        <w:t>p</w:t>
      </w:r>
      <w:r>
        <w:rPr>
          <w:rFonts w:cs="AdvTT454a7a89"/>
        </w:rPr>
        <w:t>&lt;</w:t>
      </w:r>
      <w:r>
        <w:t xml:space="preserve">0.0001], equivalent to an </w:t>
      </w:r>
      <w:r>
        <w:rPr>
          <w:rFonts w:cs="AdvTT50a2f13e.I"/>
        </w:rPr>
        <w:t xml:space="preserve">r </w:t>
      </w:r>
      <w:r>
        <w:t>of 0.43” (p. 43)</w:t>
      </w:r>
    </w:p>
    <w:p w:rsidR="00E315BB" w:rsidRDefault="00E315BB" w:rsidP="00E315BB">
      <w:pPr>
        <w:pStyle w:val="MDPI31text"/>
        <w:rPr>
          <w:rFonts w:cstheme="minorBidi"/>
        </w:rPr>
      </w:pPr>
      <w:r>
        <w:t xml:space="preserve">Recalculated </w:t>
      </w:r>
      <w:r>
        <w:rPr>
          <w:i/>
        </w:rPr>
        <w:t>p</w:t>
      </w:r>
      <w:r>
        <w:t xml:space="preserve"> = .00001, </w:t>
      </w:r>
      <w:proofErr w:type="spellStart"/>
      <w:proofErr w:type="gramStart"/>
      <w:r>
        <w:rPr>
          <w:i/>
        </w:rPr>
        <w:t>df</w:t>
      </w:r>
      <w:proofErr w:type="spellEnd"/>
      <w:proofErr w:type="gramEnd"/>
      <w:r>
        <w:t xml:space="preserve"> = 96</w:t>
      </w:r>
    </w:p>
    <w:p w:rsidR="00E315BB" w:rsidRDefault="00E315BB" w:rsidP="00E315BB">
      <w:pPr>
        <w:pStyle w:val="MDPI21heading1"/>
      </w:pPr>
      <w:r>
        <w:t>Bates (2006), Study 2</w:t>
      </w:r>
    </w:p>
    <w:p w:rsidR="00E315BB" w:rsidRDefault="00E315BB" w:rsidP="00E315BB">
      <w:pPr>
        <w:pStyle w:val="MDPI21heading1"/>
      </w:pPr>
      <w:r>
        <w:t>Predictions:</w:t>
      </w:r>
    </w:p>
    <w:p w:rsidR="00E315BB" w:rsidRDefault="00E315BB" w:rsidP="00E315BB">
      <w:pPr>
        <w:pStyle w:val="MDPI31text"/>
      </w:pPr>
      <w:r>
        <w:t>“This second study, then tested four hypotheses: that the FA–IQ correlation would replicate …” (p. 44).</w:t>
      </w:r>
    </w:p>
    <w:p w:rsidR="00E315BB" w:rsidRDefault="00E315BB" w:rsidP="00E315BB">
      <w:pPr>
        <w:pStyle w:val="MDPI21heading1"/>
      </w:pPr>
      <w:r>
        <w:t>Primary Effect:</w:t>
      </w:r>
    </w:p>
    <w:p w:rsidR="00E315BB" w:rsidRPr="007C019C" w:rsidRDefault="00E315BB" w:rsidP="007C019C">
      <w:pPr>
        <w:pStyle w:val="MDPI31text"/>
      </w:pPr>
      <w:r>
        <w:t>Correlation between Raven Progressive Matrices score and digit FA (4 features)</w:t>
      </w:r>
    </w:p>
    <w:p w:rsidR="00E315BB" w:rsidRDefault="00E315BB" w:rsidP="00E315BB">
      <w:pPr>
        <w:pStyle w:val="MDPI21heading1"/>
      </w:pPr>
      <w:r>
        <w:t>Results:</w:t>
      </w:r>
    </w:p>
    <w:p w:rsidR="00E315BB" w:rsidRDefault="00E315BB" w:rsidP="00E315BB">
      <w:pPr>
        <w:pStyle w:val="MDPI31text"/>
      </w:pPr>
      <w:r>
        <w:t>“Supporting Hypothesis 1, FA showed a significant negative correlation with Raven scores (r= −0.29, p&lt;0.0003).” (p. 44)</w:t>
      </w:r>
    </w:p>
    <w:p w:rsidR="00E315BB" w:rsidRDefault="00E315BB" w:rsidP="00E315BB">
      <w:pPr>
        <w:pStyle w:val="MDPI31text"/>
      </w:pPr>
      <w:r>
        <w:t xml:space="preserve">Recalculated </w:t>
      </w:r>
      <w:r>
        <w:rPr>
          <w:i/>
        </w:rPr>
        <w:t>p</w:t>
      </w:r>
      <w:r>
        <w:t xml:space="preserve"> = .</w:t>
      </w:r>
      <w:proofErr w:type="gramStart"/>
      <w:r>
        <w:t>0003 ,</w:t>
      </w:r>
      <w:proofErr w:type="gramEnd"/>
      <w:r>
        <w:t xml:space="preserve"> </w:t>
      </w:r>
      <w:proofErr w:type="spellStart"/>
      <w:r>
        <w:rPr>
          <w:i/>
        </w:rPr>
        <w:t>df</w:t>
      </w:r>
      <w:proofErr w:type="spellEnd"/>
      <w:r>
        <w:t xml:space="preserve"> = 151</w:t>
      </w:r>
    </w:p>
    <w:p w:rsidR="00E315BB" w:rsidRDefault="00E315BB" w:rsidP="00E315BB">
      <w:pPr>
        <w:pStyle w:val="MDPI21heading1"/>
      </w:pPr>
      <w:r>
        <w:t>Rahman, Wilson, &amp; Abrahams (2004)</w:t>
      </w:r>
    </w:p>
    <w:p w:rsidR="00E315BB" w:rsidRDefault="00E315BB" w:rsidP="00E315BB">
      <w:pPr>
        <w:pStyle w:val="MDPI21heading1"/>
      </w:pPr>
      <w:r>
        <w:t>Predictions:</w:t>
      </w:r>
    </w:p>
    <w:p w:rsidR="00E315BB" w:rsidRPr="007C019C" w:rsidRDefault="00E315BB" w:rsidP="007C019C">
      <w:pPr>
        <w:pStyle w:val="MDPI31text"/>
      </w:pPr>
      <w:r>
        <w:t>“Thus, there is precedent for viewing DI as an important source of variation in neurocognitive functioning… The aim of the present study was to examine the associations between markers of FA and performance on a broad range of cognitive functions in a large sample of healthy men and women” (p. 244)</w:t>
      </w:r>
    </w:p>
    <w:p w:rsidR="00E315BB" w:rsidRDefault="00E315BB" w:rsidP="00E315BB">
      <w:pPr>
        <w:pStyle w:val="MDPI21heading1"/>
      </w:pPr>
      <w:r>
        <w:t>Primary Effect:</w:t>
      </w:r>
    </w:p>
    <w:p w:rsidR="00E315BB" w:rsidRDefault="00E315BB" w:rsidP="00E315BB">
      <w:pPr>
        <w:pStyle w:val="MDPI31text"/>
      </w:pPr>
      <w:r>
        <w:t>Association between digit FA and Raven’s Standard Progressive Matrices test.</w:t>
      </w:r>
    </w:p>
    <w:p w:rsidR="00E315BB" w:rsidRDefault="00E315BB" w:rsidP="00E315BB">
      <w:pPr>
        <w:pStyle w:val="MDPI21heading1"/>
      </w:pPr>
      <w:r>
        <w:t>Results:</w:t>
      </w:r>
    </w:p>
    <w:p w:rsidR="00E315BB" w:rsidRPr="007C019C" w:rsidRDefault="00E315BB" w:rsidP="007C019C">
      <w:pPr>
        <w:pStyle w:val="MDPI31text"/>
        <w:rPr>
          <w:b/>
        </w:rPr>
      </w:pPr>
      <w:r>
        <w:rPr>
          <w:b/>
        </w:rPr>
        <w:lastRenderedPageBreak/>
        <w:t>“</w:t>
      </w:r>
      <w:r>
        <w:t>There was a small, yet significant, negative correlation between composite FA and Raven’s SPM scores (our measure of general intelligence) for the whole group (</w:t>
      </w:r>
      <w:r>
        <w:rPr>
          <w:i/>
          <w:iCs/>
        </w:rPr>
        <w:t xml:space="preserve">r </w:t>
      </w:r>
      <w:r>
        <w:rPr>
          <w:rFonts w:cs="Universal-GreekwithMathPi"/>
        </w:rPr>
        <w:t>= -</w:t>
      </w:r>
      <w:r>
        <w:t xml:space="preserve">.13, </w:t>
      </w:r>
      <w:r>
        <w:rPr>
          <w:i/>
          <w:iCs/>
        </w:rPr>
        <w:t xml:space="preserve">p </w:t>
      </w:r>
      <w:r>
        <w:rPr>
          <w:rFonts w:cs="Universal-GreekwithMathPi"/>
        </w:rPr>
        <w:t xml:space="preserve">= </w:t>
      </w:r>
      <w:r>
        <w:t>.04)…” (p. 245)</w:t>
      </w:r>
    </w:p>
    <w:p w:rsidR="00E315BB" w:rsidRDefault="00E315BB" w:rsidP="00E315BB">
      <w:pPr>
        <w:pStyle w:val="MDPI31text"/>
      </w:pPr>
      <w:r>
        <w:t xml:space="preserve">Recalculated </w:t>
      </w:r>
      <w:r>
        <w:rPr>
          <w:i/>
        </w:rPr>
        <w:t>p</w:t>
      </w:r>
      <w:r>
        <w:t xml:space="preserve"> = .0442, </w:t>
      </w:r>
      <w:proofErr w:type="spellStart"/>
      <w:proofErr w:type="gramStart"/>
      <w:r>
        <w:rPr>
          <w:i/>
        </w:rPr>
        <w:t>df</w:t>
      </w:r>
      <w:proofErr w:type="spellEnd"/>
      <w:proofErr w:type="gramEnd"/>
      <w:r>
        <w:t xml:space="preserve"> = 238</w:t>
      </w:r>
    </w:p>
    <w:p w:rsidR="00E315BB" w:rsidRDefault="00E315BB" w:rsidP="00E315BB">
      <w:pPr>
        <w:pStyle w:val="MDPI21heading1"/>
      </w:pPr>
      <w:r>
        <w:t xml:space="preserve">Euler, </w:t>
      </w:r>
      <w:proofErr w:type="spellStart"/>
      <w:r>
        <w:t>Thoma</w:t>
      </w:r>
      <w:proofErr w:type="spellEnd"/>
      <w:r>
        <w:t xml:space="preserve">, </w:t>
      </w:r>
      <w:proofErr w:type="spellStart"/>
      <w:r>
        <w:t>Gangestad</w:t>
      </w:r>
      <w:proofErr w:type="spellEnd"/>
      <w:r>
        <w:t xml:space="preserve">, </w:t>
      </w:r>
      <w:proofErr w:type="spellStart"/>
      <w:r>
        <w:t>Cañive</w:t>
      </w:r>
      <w:proofErr w:type="spellEnd"/>
      <w:r>
        <w:t>, &amp; Yeo (2009)</w:t>
      </w:r>
    </w:p>
    <w:p w:rsidR="00E315BB" w:rsidRDefault="00E315BB" w:rsidP="00E315BB">
      <w:pPr>
        <w:pStyle w:val="MDPI21heading1"/>
      </w:pPr>
      <w:r>
        <w:t>Predictions:</w:t>
      </w:r>
    </w:p>
    <w:p w:rsidR="00E315BB" w:rsidRDefault="00E315BB" w:rsidP="007C019C">
      <w:pPr>
        <w:pStyle w:val="MDPI31text"/>
      </w:pPr>
      <w:r>
        <w:t xml:space="preserve">“The etiologic factors underlying schizophrenia have been conceptualized as reflecting two largely genetic components — those unique to schizophrenia and those representing vulnerability to neurodevelopmental deviation in general. The Developmental Instability (DI) approach suggests that the latter can be indexed by minor physical anomalies (MPAs), which assess early prenatal growth abnormalities, and fluctuating anatomic asymmetries (FA), which reflects later deviations.” (p. 1) </w:t>
      </w:r>
    </w:p>
    <w:p w:rsidR="00E315BB" w:rsidRDefault="00E315BB" w:rsidP="00E315BB">
      <w:pPr>
        <w:pStyle w:val="MDPI21heading1"/>
        <w:rPr>
          <w:rFonts w:cstheme="minorBidi"/>
        </w:rPr>
      </w:pPr>
      <w:r>
        <w:t>Primary Effect:</w:t>
      </w:r>
    </w:p>
    <w:p w:rsidR="00E315BB" w:rsidRDefault="00E315BB" w:rsidP="00E315BB">
      <w:pPr>
        <w:pStyle w:val="MDPI31text"/>
      </w:pPr>
      <w:r>
        <w:t xml:space="preserve">Difference in FA between schizophrenics and controls. </w:t>
      </w:r>
    </w:p>
    <w:p w:rsidR="00E315BB" w:rsidRDefault="00E315BB" w:rsidP="00E315BB">
      <w:pPr>
        <w:pStyle w:val="MDPI21heading1"/>
      </w:pPr>
      <w:r>
        <w:t>Results:</w:t>
      </w:r>
    </w:p>
    <w:p w:rsidR="00E315BB" w:rsidRDefault="00E315BB" w:rsidP="00E315BB">
      <w:pPr>
        <w:pStyle w:val="MDPI31text"/>
      </w:pPr>
      <w:r>
        <w:t>“Descriptive statistics on age, overall cognitive performance, and DI measures are provided in Table 1 along with independent samples t-tests of group differences. As hypothesized, individuals with schizophrenia exhibited greater overall DI, as well as greater FA and MPA scores.” (p. 5)</w:t>
      </w:r>
    </w:p>
    <w:p w:rsidR="00E315BB" w:rsidRDefault="00E315BB" w:rsidP="00E315BB">
      <w:pPr>
        <w:pStyle w:val="MDPI31text"/>
      </w:pPr>
      <w:r>
        <w:t xml:space="preserve">[From Table 1] FA difference, </w:t>
      </w:r>
      <w:r>
        <w:rPr>
          <w:i/>
        </w:rPr>
        <w:t>t</w:t>
      </w:r>
      <w:r>
        <w:t xml:space="preserve"> = 2.39, </w:t>
      </w:r>
      <w:r>
        <w:rPr>
          <w:i/>
        </w:rPr>
        <w:t>p</w:t>
      </w:r>
      <w:r>
        <w:t xml:space="preserve"> = .023</w:t>
      </w:r>
    </w:p>
    <w:p w:rsidR="00E315BB" w:rsidRDefault="00E315BB" w:rsidP="00E315BB">
      <w:pPr>
        <w:pStyle w:val="MDPI31text"/>
      </w:pPr>
      <w:r>
        <w:t xml:space="preserve">Recalculated </w:t>
      </w:r>
      <w:r>
        <w:rPr>
          <w:i/>
        </w:rPr>
        <w:t>p</w:t>
      </w:r>
      <w:r>
        <w:t xml:space="preserve"> = .0216, </w:t>
      </w:r>
      <w:proofErr w:type="spellStart"/>
      <w:proofErr w:type="gramStart"/>
      <w:r>
        <w:rPr>
          <w:i/>
        </w:rPr>
        <w:t>df</w:t>
      </w:r>
      <w:proofErr w:type="spellEnd"/>
      <w:proofErr w:type="gramEnd"/>
      <w:r>
        <w:t xml:space="preserve"> = 40</w:t>
      </w:r>
    </w:p>
    <w:p w:rsidR="00E315BB" w:rsidRDefault="00E315BB" w:rsidP="00E315BB">
      <w:pPr>
        <w:pStyle w:val="MDPI21heading1"/>
      </w:pPr>
      <w:proofErr w:type="spellStart"/>
      <w:r>
        <w:t>Gangestad</w:t>
      </w:r>
      <w:proofErr w:type="spellEnd"/>
      <w:r>
        <w:t xml:space="preserve">, Bennett &amp; </w:t>
      </w:r>
      <w:proofErr w:type="spellStart"/>
      <w:r>
        <w:t>Thornhill</w:t>
      </w:r>
      <w:proofErr w:type="spellEnd"/>
      <w:r>
        <w:t xml:space="preserve"> (2001)</w:t>
      </w:r>
    </w:p>
    <w:p w:rsidR="00E315BB" w:rsidRDefault="00E315BB" w:rsidP="00E315BB">
      <w:pPr>
        <w:pStyle w:val="MDPI21heading1"/>
      </w:pPr>
      <w:r>
        <w:t>Predictions:</w:t>
      </w:r>
    </w:p>
    <w:p w:rsidR="00E315BB" w:rsidRDefault="00E315BB" w:rsidP="00E315BB">
      <w:pPr>
        <w:pStyle w:val="MDPI31text"/>
      </w:pPr>
      <w:r>
        <w:t>Sought to replicate and extend previous findings showing an association between men’s FA and lifetime number of sexual partners, controlling for age.</w:t>
      </w:r>
    </w:p>
    <w:p w:rsidR="00E315BB" w:rsidRDefault="00E315BB" w:rsidP="00E315BB">
      <w:pPr>
        <w:pStyle w:val="MDPI21heading1"/>
      </w:pPr>
      <w:r>
        <w:t>Primary Effect:</w:t>
      </w:r>
    </w:p>
    <w:p w:rsidR="00E315BB" w:rsidRDefault="00E315BB" w:rsidP="00E315BB">
      <w:pPr>
        <w:pStyle w:val="MDPI31text"/>
      </w:pPr>
      <w:r>
        <w:t>Association between a composite measure of FA and men’s self-reported lifetime number of sexual partners, with age controlled.</w:t>
      </w:r>
    </w:p>
    <w:p w:rsidR="00E315BB" w:rsidRDefault="00E315BB" w:rsidP="00E315BB">
      <w:pPr>
        <w:pStyle w:val="MDPI21heading1"/>
      </w:pPr>
      <w:r>
        <w:t>Results:</w:t>
      </w:r>
    </w:p>
    <w:p w:rsidR="00E315BB" w:rsidRDefault="00E315BB" w:rsidP="00E315BB">
      <w:pPr>
        <w:pStyle w:val="MDPI31text"/>
      </w:pPr>
      <w:r>
        <w:t xml:space="preserve">“Moreover, the sum of the individual asymmetries (which is expressed as a proportion of character size; i.e., relative FA [Palmer, 1994]) </w:t>
      </w:r>
      <w:proofErr w:type="spellStart"/>
      <w:r>
        <w:t>covaried</w:t>
      </w:r>
      <w:proofErr w:type="spellEnd"/>
      <w:r>
        <w:t xml:space="preserve"> significantly with number of sexual partners (with age </w:t>
      </w:r>
      <w:proofErr w:type="spellStart"/>
      <w:r>
        <w:t>partialled</w:t>
      </w:r>
      <w:proofErr w:type="spellEnd"/>
      <w:r>
        <w:t xml:space="preserve"> out), (r = -.267 and p &lt; .001), thereby replicating </w:t>
      </w:r>
      <w:proofErr w:type="spellStart"/>
      <w:r>
        <w:t>Thornhill</w:t>
      </w:r>
      <w:proofErr w:type="spellEnd"/>
      <w:r>
        <w:t xml:space="preserve"> &amp; </w:t>
      </w:r>
      <w:proofErr w:type="spellStart"/>
      <w:r>
        <w:t>Gangestad</w:t>
      </w:r>
      <w:proofErr w:type="spellEnd"/>
      <w:r>
        <w:t xml:space="preserve"> (1994) and </w:t>
      </w:r>
      <w:proofErr w:type="spellStart"/>
      <w:r>
        <w:t>Gangestad</w:t>
      </w:r>
      <w:proofErr w:type="spellEnd"/>
      <w:r>
        <w:t xml:space="preserve"> &amp; </w:t>
      </w:r>
      <w:proofErr w:type="spellStart"/>
      <w:r>
        <w:t>Thornhill</w:t>
      </w:r>
      <w:proofErr w:type="spellEnd"/>
      <w:r>
        <w:t xml:space="preserve"> (1997)” (p. 1680).</w:t>
      </w:r>
    </w:p>
    <w:p w:rsidR="00E315BB" w:rsidRDefault="00E315BB" w:rsidP="00E315BB">
      <w:pPr>
        <w:pStyle w:val="MDPI21heading1"/>
      </w:pPr>
      <w:proofErr w:type="spellStart"/>
      <w:r>
        <w:t>Gangestad</w:t>
      </w:r>
      <w:proofErr w:type="spellEnd"/>
      <w:r>
        <w:t xml:space="preserve"> &amp; </w:t>
      </w:r>
      <w:proofErr w:type="spellStart"/>
      <w:r>
        <w:t>Thornhill</w:t>
      </w:r>
      <w:proofErr w:type="spellEnd"/>
      <w:r>
        <w:t xml:space="preserve"> (1997)</w:t>
      </w:r>
    </w:p>
    <w:p w:rsidR="00E315BB" w:rsidRDefault="00E315BB" w:rsidP="00E315BB">
      <w:pPr>
        <w:pStyle w:val="MDPI21heading1"/>
      </w:pPr>
      <w:r>
        <w:t>Predictions:</w:t>
      </w:r>
    </w:p>
    <w:p w:rsidR="00E315BB" w:rsidRDefault="00E315BB" w:rsidP="00E315BB">
      <w:pPr>
        <w:pStyle w:val="MDPI31text"/>
      </w:pPr>
      <w:r>
        <w:t xml:space="preserve">“Based on these notions, then, we can derive a prediction about women's </w:t>
      </w:r>
      <w:proofErr w:type="spellStart"/>
      <w:r>
        <w:t>extrapair</w:t>
      </w:r>
      <w:proofErr w:type="spellEnd"/>
      <w:r>
        <w:t xml:space="preserve"> sex: Women's EPC partners will tend to exhibit developmental quality, as revealed by low fluctuating asymmetry. Hence, men's fluctuating asymmetry should negatively correlate with the number of times they have been a woman's EPC” (p. 74).</w:t>
      </w:r>
    </w:p>
    <w:p w:rsidR="00E315BB" w:rsidRDefault="00E315BB" w:rsidP="00E315BB">
      <w:pPr>
        <w:pStyle w:val="MDPI21heading1"/>
      </w:pPr>
    </w:p>
    <w:p w:rsidR="00E315BB" w:rsidRDefault="00E315BB" w:rsidP="00E315BB">
      <w:pPr>
        <w:pStyle w:val="MDPI21heading1"/>
        <w:rPr>
          <w:rFonts w:cstheme="minorBidi"/>
        </w:rPr>
      </w:pPr>
      <w:r>
        <w:t>Primary Effect:</w:t>
      </w:r>
    </w:p>
    <w:p w:rsidR="00E315BB" w:rsidRDefault="00E315BB" w:rsidP="00E315BB">
      <w:pPr>
        <w:pStyle w:val="MDPI31text"/>
      </w:pPr>
      <w:r>
        <w:lastRenderedPageBreak/>
        <w:t>Association between men’s body FA and times having been an EPC partner, with age, expected salary, SES, and physical attractiveness controlled. (The zero-order correlation presented yielded nearly identical results.)</w:t>
      </w:r>
    </w:p>
    <w:p w:rsidR="00E315BB" w:rsidRDefault="00E315BB" w:rsidP="00E315BB">
      <w:pPr>
        <w:pStyle w:val="MDPI21heading1"/>
      </w:pPr>
      <w:r>
        <w:t>Results:</w:t>
      </w:r>
    </w:p>
    <w:p w:rsidR="00E315BB" w:rsidRDefault="00E315BB" w:rsidP="00E315BB">
      <w:pPr>
        <w:pStyle w:val="MDPI31text"/>
      </w:pPr>
      <w:r>
        <w:t xml:space="preserve">“As expected men of lower FA tended to have been an EPC partner more times than did men of high FA, beta = -.27, </w:t>
      </w:r>
      <w:r>
        <w:rPr>
          <w:i/>
        </w:rPr>
        <w:t>t</w:t>
      </w:r>
      <w:r>
        <w:t xml:space="preserve">(80) = 2.67, </w:t>
      </w:r>
      <w:r>
        <w:rPr>
          <w:i/>
        </w:rPr>
        <w:t>p</w:t>
      </w:r>
      <w:r>
        <w:t xml:space="preserve"> &lt; .005” (p. 79). (Table 3, p. 80, reports the t-value to be 2.69. We used the smaller value.)</w:t>
      </w:r>
    </w:p>
    <w:p w:rsidR="00E315BB" w:rsidRDefault="00E315BB" w:rsidP="00E315BB">
      <w:pPr>
        <w:pStyle w:val="MDPI31text"/>
      </w:pPr>
      <w:r>
        <w:t xml:space="preserve">Recalculated </w:t>
      </w:r>
      <w:r>
        <w:rPr>
          <w:i/>
        </w:rPr>
        <w:t>p</w:t>
      </w:r>
      <w:r>
        <w:t xml:space="preserve"> = .0092; </w:t>
      </w:r>
      <w:proofErr w:type="spellStart"/>
      <w:proofErr w:type="gramStart"/>
      <w:r>
        <w:rPr>
          <w:i/>
        </w:rPr>
        <w:t>df</w:t>
      </w:r>
      <w:proofErr w:type="spellEnd"/>
      <w:proofErr w:type="gramEnd"/>
      <w:r>
        <w:rPr>
          <w:i/>
        </w:rPr>
        <w:t xml:space="preserve"> </w:t>
      </w:r>
      <w:r>
        <w:t>= 80</w:t>
      </w:r>
    </w:p>
    <w:p w:rsidR="00E315BB" w:rsidRDefault="00E315BB" w:rsidP="00E315BB">
      <w:pPr>
        <w:pStyle w:val="MDPI31text"/>
      </w:pPr>
      <w:r>
        <w:t xml:space="preserve">(The zero-order correlation was -.28, </w:t>
      </w:r>
      <w:proofErr w:type="gramStart"/>
      <w:r>
        <w:rPr>
          <w:i/>
        </w:rPr>
        <w:t>t</w:t>
      </w:r>
      <w:r>
        <w:t>(</w:t>
      </w:r>
      <w:proofErr w:type="gramEnd"/>
      <w:r>
        <w:t xml:space="preserve">84) = 2.67, </w:t>
      </w:r>
      <w:r>
        <w:rPr>
          <w:i/>
        </w:rPr>
        <w:t>p</w:t>
      </w:r>
      <w:r>
        <w:t xml:space="preserve"> = .0090.)</w:t>
      </w:r>
    </w:p>
    <w:p w:rsidR="00E315BB" w:rsidRDefault="00E315BB" w:rsidP="00E315BB">
      <w:pPr>
        <w:pStyle w:val="MDPI21heading1"/>
      </w:pPr>
      <w:proofErr w:type="spellStart"/>
      <w:r>
        <w:t>Thornhill</w:t>
      </w:r>
      <w:proofErr w:type="spellEnd"/>
      <w:r>
        <w:t xml:space="preserve">, </w:t>
      </w:r>
      <w:proofErr w:type="spellStart"/>
      <w:r>
        <w:t>Gangestad</w:t>
      </w:r>
      <w:proofErr w:type="spellEnd"/>
      <w:r>
        <w:t xml:space="preserve"> &amp; Comer (1995) (Note: Updated values reported by </w:t>
      </w:r>
      <w:proofErr w:type="spellStart"/>
      <w:r>
        <w:t>Møller</w:t>
      </w:r>
      <w:proofErr w:type="spellEnd"/>
      <w:r>
        <w:t xml:space="preserve">, </w:t>
      </w:r>
      <w:proofErr w:type="spellStart"/>
      <w:r>
        <w:t>Thornhill</w:t>
      </w:r>
      <w:proofErr w:type="spellEnd"/>
      <w:r>
        <w:t xml:space="preserve"> &amp; </w:t>
      </w:r>
      <w:proofErr w:type="spellStart"/>
      <w:r>
        <w:t>Gangestad</w:t>
      </w:r>
      <w:proofErr w:type="spellEnd"/>
      <w:r>
        <w:t xml:space="preserve"> (1999)</w:t>
      </w:r>
    </w:p>
    <w:p w:rsidR="00E315BB" w:rsidRDefault="00E315BB" w:rsidP="00E315BB">
      <w:pPr>
        <w:pStyle w:val="MDPI21heading1"/>
      </w:pPr>
      <w:r>
        <w:t>Predictions:</w:t>
      </w:r>
    </w:p>
    <w:p w:rsidR="00E315BB" w:rsidRDefault="00E315BB" w:rsidP="00E315BB">
      <w:pPr>
        <w:pStyle w:val="MDPI31text"/>
      </w:pPr>
      <w:r>
        <w:t>Examined association between male FA and proportion of copulations resulting in female orgasm.</w:t>
      </w:r>
    </w:p>
    <w:p w:rsidR="00E315BB" w:rsidRDefault="00E315BB" w:rsidP="00E315BB">
      <w:pPr>
        <w:pStyle w:val="MDPI21heading1"/>
      </w:pPr>
      <w:r>
        <w:t>Primary Effect:</w:t>
      </w:r>
    </w:p>
    <w:p w:rsidR="00E315BB" w:rsidRDefault="00E315BB" w:rsidP="00E315BB">
      <w:pPr>
        <w:pStyle w:val="MDPI31text"/>
      </w:pPr>
      <w:r>
        <w:t>Association between FA and this self-reported proportion, with male height, weight, height-squared, and weight-squared controlled, in sample of couples reporting having had sex at least 5 times in the past month</w:t>
      </w:r>
      <w:proofErr w:type="gramStart"/>
      <w:r>
        <w:t>..</w:t>
      </w:r>
      <w:proofErr w:type="gramEnd"/>
    </w:p>
    <w:p w:rsidR="00E315BB" w:rsidRDefault="00E315BB" w:rsidP="00E315BB">
      <w:pPr>
        <w:pStyle w:val="MDPI21heading1"/>
      </w:pPr>
      <w:r>
        <w:t>Results:</w:t>
      </w:r>
    </w:p>
    <w:p w:rsidR="00E315BB" w:rsidRDefault="00E315BB" w:rsidP="00E315BB">
      <w:pPr>
        <w:pStyle w:val="MDPI31text"/>
      </w:pPr>
      <w:r>
        <w:t xml:space="preserve">For couples with &gt; 5 times sex in last month in expanded sample, </w:t>
      </w:r>
      <w:proofErr w:type="gramStart"/>
      <w:r>
        <w:t>t(</w:t>
      </w:r>
      <w:proofErr w:type="gramEnd"/>
      <w:r>
        <w:t>77) =-2.28.</w:t>
      </w:r>
    </w:p>
    <w:p w:rsidR="00E315BB" w:rsidRDefault="00E315BB" w:rsidP="00E315BB">
      <w:pPr>
        <w:pStyle w:val="MDPI31text"/>
      </w:pPr>
      <w:r>
        <w:t xml:space="preserve">Recalculated </w:t>
      </w:r>
      <w:r>
        <w:rPr>
          <w:i/>
        </w:rPr>
        <w:t>p</w:t>
      </w:r>
      <w:r>
        <w:t xml:space="preserve"> = .0253; </w:t>
      </w:r>
      <w:proofErr w:type="spellStart"/>
      <w:proofErr w:type="gramStart"/>
      <w:r>
        <w:rPr>
          <w:i/>
        </w:rPr>
        <w:t>df</w:t>
      </w:r>
      <w:proofErr w:type="spellEnd"/>
      <w:proofErr w:type="gramEnd"/>
      <w:r>
        <w:rPr>
          <w:i/>
        </w:rPr>
        <w:t xml:space="preserve"> </w:t>
      </w:r>
      <w:r>
        <w:t>= 77</w:t>
      </w:r>
    </w:p>
    <w:p w:rsidR="00E315BB" w:rsidRDefault="00E315BB" w:rsidP="00E315BB">
      <w:pPr>
        <w:pStyle w:val="MDPI31text"/>
      </w:pPr>
      <w:r>
        <w:t xml:space="preserve">(For robustness analysis: association with arcsine transformation of proportion; </w:t>
      </w:r>
      <w:proofErr w:type="gramStart"/>
      <w:r>
        <w:t>t(</w:t>
      </w:r>
      <w:proofErr w:type="gramEnd"/>
      <w:r>
        <w:t>77) = -2.22, p = .0293.)</w:t>
      </w:r>
    </w:p>
    <w:p w:rsidR="00E315BB" w:rsidRDefault="00E315BB" w:rsidP="00E315BB">
      <w:pPr>
        <w:pStyle w:val="MDPI21heading1"/>
        <w:rPr>
          <w:rFonts w:cstheme="minorBidi"/>
        </w:rPr>
      </w:pPr>
      <w:proofErr w:type="spellStart"/>
      <w:r>
        <w:t>Firman</w:t>
      </w:r>
      <w:proofErr w:type="spellEnd"/>
      <w:r>
        <w:t>, Simmons, Cummins, &amp; Matson (2003)</w:t>
      </w:r>
    </w:p>
    <w:p w:rsidR="00E315BB" w:rsidRDefault="00E315BB" w:rsidP="00E315BB">
      <w:pPr>
        <w:pStyle w:val="MDPI21heading1"/>
      </w:pPr>
      <w:r>
        <w:t>Predictions:</w:t>
      </w:r>
    </w:p>
    <w:p w:rsidR="00E315BB" w:rsidRPr="007C019C" w:rsidRDefault="00E315BB" w:rsidP="007C019C">
      <w:pPr>
        <w:pStyle w:val="MDPI31text"/>
      </w:pPr>
      <w:r>
        <w:t xml:space="preserve">“The FA-fertility hypothesis proposes that FA may be a reliable indicator of ejaculate quality in humans” (p. 808) </w:t>
      </w:r>
    </w:p>
    <w:p w:rsidR="00E315BB" w:rsidRDefault="00E315BB" w:rsidP="00E315BB">
      <w:pPr>
        <w:pStyle w:val="MDPI21heading1"/>
        <w:rPr>
          <w:rFonts w:cstheme="minorBidi"/>
        </w:rPr>
      </w:pPr>
      <w:r>
        <w:t>Primary Effect:</w:t>
      </w:r>
    </w:p>
    <w:p w:rsidR="00E315BB" w:rsidRDefault="00E315BB" w:rsidP="00E315BB">
      <w:pPr>
        <w:pStyle w:val="MDPI31text"/>
      </w:pPr>
      <w:r>
        <w:t xml:space="preserve">Regression of sperm number on body FA. </w:t>
      </w:r>
    </w:p>
    <w:p w:rsidR="00E315BB" w:rsidRDefault="00E315BB" w:rsidP="00E315BB">
      <w:pPr>
        <w:pStyle w:val="MDPI21heading1"/>
      </w:pPr>
      <w:r>
        <w:t>Results:</w:t>
      </w:r>
    </w:p>
    <w:p w:rsidR="00E315BB" w:rsidRDefault="00E315BB" w:rsidP="00E315BB">
      <w:pPr>
        <w:pStyle w:val="MDPI31text"/>
      </w:pPr>
      <w:r>
        <w:t>“</w:t>
      </w:r>
      <w:proofErr w:type="spellStart"/>
      <w:r>
        <w:t>Univariate</w:t>
      </w:r>
      <w:proofErr w:type="spellEnd"/>
      <w:r>
        <w:t xml:space="preserve"> tests showed that there were significant relationships between body FA and total sperm number, sperm motility, and sperm head length (Table I).” (p. 810)</w:t>
      </w:r>
    </w:p>
    <w:p w:rsidR="00E315BB" w:rsidRDefault="00E315BB" w:rsidP="00E315BB">
      <w:pPr>
        <w:pStyle w:val="MDPI31text"/>
      </w:pPr>
      <w:r>
        <w:t xml:space="preserve">[From Table 1] predicting Numbers of sperm from Body FA, </w:t>
      </w:r>
      <w:r>
        <w:rPr>
          <w:i/>
        </w:rPr>
        <w:t>b</w:t>
      </w:r>
      <w:r>
        <w:t xml:space="preserve"> = -15.31, </w:t>
      </w:r>
      <w:r>
        <w:rPr>
          <w:i/>
        </w:rPr>
        <w:t>SEM</w:t>
      </w:r>
      <w:r>
        <w:t xml:space="preserve"> = 6.70, </w:t>
      </w:r>
      <w:proofErr w:type="gramStart"/>
      <w:r>
        <w:rPr>
          <w:i/>
        </w:rPr>
        <w:t>t</w:t>
      </w:r>
      <w:r>
        <w:t>(</w:t>
      </w:r>
      <w:proofErr w:type="gramEnd"/>
      <w:r>
        <w:t xml:space="preserve">48) = 2.28, </w:t>
      </w:r>
      <w:r>
        <w:rPr>
          <w:i/>
        </w:rPr>
        <w:t>p</w:t>
      </w:r>
      <w:r>
        <w:t xml:space="preserve"> = .027</w:t>
      </w:r>
    </w:p>
    <w:p w:rsidR="00E315BB" w:rsidRDefault="00E315BB" w:rsidP="00E315BB">
      <w:pPr>
        <w:pStyle w:val="MDPI31text"/>
      </w:pPr>
      <w:r>
        <w:t xml:space="preserve">Recalculated </w:t>
      </w:r>
      <w:r>
        <w:rPr>
          <w:i/>
        </w:rPr>
        <w:t>p</w:t>
      </w:r>
      <w:r>
        <w:t xml:space="preserve"> = .0271, </w:t>
      </w:r>
      <w:proofErr w:type="spellStart"/>
      <w:proofErr w:type="gramStart"/>
      <w:r>
        <w:rPr>
          <w:i/>
        </w:rPr>
        <w:t>df</w:t>
      </w:r>
      <w:proofErr w:type="spellEnd"/>
      <w:proofErr w:type="gramEnd"/>
      <w:r>
        <w:t xml:space="preserve"> = 48</w:t>
      </w:r>
    </w:p>
    <w:p w:rsidR="00E315BB" w:rsidRDefault="00E315BB" w:rsidP="00E315BB">
      <w:pPr>
        <w:pStyle w:val="MDPI21heading1"/>
      </w:pPr>
      <w:r>
        <w:t xml:space="preserve">Manning, </w:t>
      </w:r>
      <w:proofErr w:type="spellStart"/>
      <w:r>
        <w:t>Scutt</w:t>
      </w:r>
      <w:proofErr w:type="spellEnd"/>
      <w:r>
        <w:t>, &amp; Lewis-Jones (1998)</w:t>
      </w:r>
    </w:p>
    <w:p w:rsidR="00E315BB" w:rsidRDefault="00E315BB" w:rsidP="00E315BB">
      <w:pPr>
        <w:pStyle w:val="MDPI21heading1"/>
      </w:pPr>
      <w:r>
        <w:t>Predictions:</w:t>
      </w:r>
    </w:p>
    <w:p w:rsidR="00E315BB" w:rsidRDefault="00E315BB" w:rsidP="00E315BB">
      <w:pPr>
        <w:pStyle w:val="MDPI31text"/>
      </w:pPr>
      <w:r>
        <w:lastRenderedPageBreak/>
        <w:t xml:space="preserve">“The purpose of this work was to consider the relationship between sperm parameters associated with fertility (including ejaculate size, sperm speed, and sperm migration) (World Health </w:t>
      </w:r>
      <w:proofErr w:type="spellStart"/>
      <w:r>
        <w:t>Organisation</w:t>
      </w:r>
      <w:proofErr w:type="spellEnd"/>
      <w:r>
        <w:t xml:space="preserve"> 1987) and FA.” (p. 274)</w:t>
      </w:r>
    </w:p>
    <w:p w:rsidR="00E315BB" w:rsidRDefault="00E315BB" w:rsidP="00E315BB">
      <w:pPr>
        <w:pStyle w:val="MDPI21heading1"/>
      </w:pPr>
      <w:r>
        <w:t>Primary Effect</w:t>
      </w:r>
    </w:p>
    <w:p w:rsidR="00E315BB" w:rsidRDefault="00E315BB" w:rsidP="00E315BB">
      <w:pPr>
        <w:pStyle w:val="MDPI31text"/>
      </w:pPr>
      <w:r>
        <w:t>Regression of sperm number on relative digit FA controlling for age, height, and weight</w:t>
      </w:r>
    </w:p>
    <w:p w:rsidR="00E315BB" w:rsidRDefault="00E315BB" w:rsidP="00E315BB">
      <w:pPr>
        <w:pStyle w:val="MDPI21heading1"/>
      </w:pPr>
      <w:r>
        <w:t>Results:</w:t>
      </w:r>
    </w:p>
    <w:p w:rsidR="00E315BB" w:rsidRDefault="00E315BB" w:rsidP="00E315BB">
      <w:pPr>
        <w:pStyle w:val="MDPI31text"/>
      </w:pPr>
      <w:r>
        <w:t>“Tables 2 and 3 show the results of multiple regression tests with sperm number, average speed, and SMT as dependent variables and overall FA, weight, height, and age as independent variables. … Overall FA was significant for all tests.” (p. 279)</w:t>
      </w:r>
    </w:p>
    <w:p w:rsidR="00E315BB" w:rsidRDefault="00E315BB" w:rsidP="00E315BB">
      <w:pPr>
        <w:pStyle w:val="MDPI31text"/>
      </w:pPr>
      <w:r>
        <w:t xml:space="preserve">[From Table 3] predicting Sperm number from Overall Relative FA, </w:t>
      </w:r>
      <w:r>
        <w:rPr>
          <w:i/>
        </w:rPr>
        <w:t>b</w:t>
      </w:r>
      <w:r>
        <w:t xml:space="preserve"> = -17.04, </w:t>
      </w:r>
      <w:r>
        <w:rPr>
          <w:i/>
        </w:rPr>
        <w:t>t</w:t>
      </w:r>
      <w:r>
        <w:t xml:space="preserve"> = 2.13, </w:t>
      </w:r>
      <w:r>
        <w:rPr>
          <w:i/>
        </w:rPr>
        <w:t>p</w:t>
      </w:r>
      <w:r>
        <w:t xml:space="preserve"> = .04</w:t>
      </w:r>
    </w:p>
    <w:p w:rsidR="00E315BB" w:rsidRDefault="00E315BB" w:rsidP="00E315BB">
      <w:pPr>
        <w:pStyle w:val="MDPI31text"/>
      </w:pPr>
      <w:r>
        <w:t xml:space="preserve">Recalculated </w:t>
      </w:r>
      <w:r>
        <w:rPr>
          <w:i/>
        </w:rPr>
        <w:t>p</w:t>
      </w:r>
      <w:r>
        <w:t xml:space="preserve"> = .0382, </w:t>
      </w:r>
      <w:proofErr w:type="spellStart"/>
      <w:proofErr w:type="gramStart"/>
      <w:r>
        <w:rPr>
          <w:i/>
        </w:rPr>
        <w:t>df</w:t>
      </w:r>
      <w:proofErr w:type="spellEnd"/>
      <w:proofErr w:type="gramEnd"/>
      <w:r>
        <w:t xml:space="preserve"> = 49</w:t>
      </w:r>
    </w:p>
    <w:p w:rsidR="00E315BB" w:rsidRDefault="00E315BB" w:rsidP="00E315BB">
      <w:pPr>
        <w:pStyle w:val="MDPI21heading1"/>
      </w:pPr>
      <w:proofErr w:type="spellStart"/>
      <w:r>
        <w:t>Gangestad</w:t>
      </w:r>
      <w:proofErr w:type="spellEnd"/>
      <w:r>
        <w:t xml:space="preserve">, </w:t>
      </w:r>
      <w:proofErr w:type="spellStart"/>
      <w:r>
        <w:t>Thornhill</w:t>
      </w:r>
      <w:proofErr w:type="spellEnd"/>
      <w:r>
        <w:t xml:space="preserve"> &amp; </w:t>
      </w:r>
      <w:proofErr w:type="spellStart"/>
      <w:r>
        <w:t>Garver</w:t>
      </w:r>
      <w:proofErr w:type="spellEnd"/>
      <w:r>
        <w:t>-Apgar (2005)</w:t>
      </w:r>
    </w:p>
    <w:p w:rsidR="00E315BB" w:rsidRDefault="00E315BB" w:rsidP="00E315BB">
      <w:pPr>
        <w:pStyle w:val="MDPI21heading1"/>
      </w:pPr>
      <w:r>
        <w:t>Predictions:</w:t>
      </w:r>
    </w:p>
    <w:p w:rsidR="00E315BB" w:rsidRPr="007C019C" w:rsidRDefault="00E315BB" w:rsidP="007C019C">
      <w:pPr>
        <w:pStyle w:val="MDPI31text"/>
      </w:pPr>
      <w:r>
        <w:t xml:space="preserve">“Hence, the ovulatory cycle shift in women’s extra-pair desires and flirtation should be strongest for women with partners who lack traits preferred by women when fertile. Women whose partners lack these traits may furthermore be less sexually attracted to their partners when fertile. We tested this hypothesis by examining the moderating effect of male partners’ fluctuating asymmetry (FA) on women’s </w:t>
      </w:r>
      <w:proofErr w:type="spellStart"/>
      <w:r>
        <w:t>extrapair</w:t>
      </w:r>
      <w:proofErr w:type="spellEnd"/>
      <w:r>
        <w:t xml:space="preserve"> and in-pair sexual interests across the cycle” (p. 2024).</w:t>
      </w:r>
    </w:p>
    <w:p w:rsidR="00E315BB" w:rsidRDefault="00E315BB" w:rsidP="00E315BB">
      <w:pPr>
        <w:pStyle w:val="MDPI21heading1"/>
        <w:rPr>
          <w:rFonts w:cstheme="minorBidi"/>
        </w:rPr>
      </w:pPr>
      <w:r>
        <w:t>Primary Effect:</w:t>
      </w:r>
    </w:p>
    <w:p w:rsidR="00E315BB" w:rsidRDefault="00E315BB" w:rsidP="00E315BB">
      <w:pPr>
        <w:pStyle w:val="MDPI21heading1"/>
      </w:pPr>
      <w:r>
        <w:t>Association between men’s FA and their partners’ sexual attraction to extra-men during their fertile phase.</w:t>
      </w:r>
    </w:p>
    <w:p w:rsidR="00E315BB" w:rsidRDefault="00E315BB" w:rsidP="00E315BB">
      <w:pPr>
        <w:pStyle w:val="MDPI21heading1"/>
      </w:pPr>
      <w:r>
        <w:t>Results:</w:t>
      </w:r>
    </w:p>
    <w:p w:rsidR="00E315BB" w:rsidRDefault="00E315BB" w:rsidP="007C019C">
      <w:pPr>
        <w:pStyle w:val="MDPI31text"/>
      </w:pPr>
      <w:r>
        <w:t xml:space="preserve">“Scatterplots and regressions of women’s sexual attraction to extra-pair men as a function of their primary partner’s FA. Solid diamonds and solid regression line: fertile phase. …. </w:t>
      </w:r>
      <w:r>
        <w:rPr>
          <w:rFonts w:cs="AdvPS8588"/>
          <w:i/>
        </w:rPr>
        <w:t>r</w:t>
      </w:r>
      <w:r>
        <w:rPr>
          <w:rFonts w:cs="AdvPS3FDD77"/>
          <w:i/>
        </w:rPr>
        <w:t xml:space="preserve"> </w:t>
      </w:r>
      <w:r>
        <w:rPr>
          <w:rFonts w:cs="AdvPS3FDD77"/>
        </w:rPr>
        <w:t xml:space="preserve">= </w:t>
      </w:r>
      <w:r>
        <w:t xml:space="preserve">0.37, </w:t>
      </w:r>
      <w:r>
        <w:rPr>
          <w:rFonts w:cs="AdvPS8588"/>
        </w:rPr>
        <w:t>p</w:t>
      </w:r>
      <w:r>
        <w:rPr>
          <w:rFonts w:cs="AdvPS3FDD77"/>
        </w:rPr>
        <w:t xml:space="preserve"> =</w:t>
      </w:r>
      <w:proofErr w:type="gramStart"/>
      <w:r>
        <w:t>0.006, …”</w:t>
      </w:r>
      <w:proofErr w:type="gramEnd"/>
      <w:r>
        <w:t xml:space="preserve"> (p. 2025).</w:t>
      </w:r>
    </w:p>
    <w:p w:rsidR="00E315BB" w:rsidRDefault="00E315BB" w:rsidP="007C019C">
      <w:pPr>
        <w:pStyle w:val="MDPI31text"/>
      </w:pPr>
      <w:r>
        <w:t xml:space="preserve">Recalculated </w:t>
      </w:r>
      <w:r>
        <w:rPr>
          <w:i/>
        </w:rPr>
        <w:t>p</w:t>
      </w:r>
      <w:r>
        <w:t xml:space="preserve"> = .0069; </w:t>
      </w:r>
      <w:proofErr w:type="spellStart"/>
      <w:proofErr w:type="gramStart"/>
      <w:r>
        <w:rPr>
          <w:i/>
        </w:rPr>
        <w:t>df</w:t>
      </w:r>
      <w:proofErr w:type="spellEnd"/>
      <w:proofErr w:type="gramEnd"/>
      <w:r>
        <w:t xml:space="preserve"> = 50</w:t>
      </w:r>
    </w:p>
    <w:p w:rsidR="00E315BB" w:rsidRDefault="00E315BB" w:rsidP="00E315BB">
      <w:pPr>
        <w:pStyle w:val="MDPI21heading1"/>
      </w:pPr>
      <w:r>
        <w:t>Study exclusions</w:t>
      </w:r>
    </w:p>
    <w:p w:rsidR="007C019C" w:rsidRDefault="00E315BB" w:rsidP="007C019C">
      <w:pPr>
        <w:pStyle w:val="MDPI21heading1"/>
      </w:pPr>
      <w:r>
        <w:t xml:space="preserve">Adams &amp; </w:t>
      </w:r>
      <w:proofErr w:type="spellStart"/>
      <w:r>
        <w:t>Niswander</w:t>
      </w:r>
      <w:proofErr w:type="spellEnd"/>
      <w:r>
        <w:t xml:space="preserve"> (1967). </w:t>
      </w:r>
    </w:p>
    <w:p w:rsidR="00E315BB" w:rsidRDefault="00E315BB" w:rsidP="007C019C">
      <w:pPr>
        <w:pStyle w:val="MDPI31text"/>
      </w:pPr>
      <w:r>
        <w:t xml:space="preserve">This study examined differences in palmar </w:t>
      </w:r>
      <w:proofErr w:type="spellStart"/>
      <w:r>
        <w:t>dermatoglyphics</w:t>
      </w:r>
      <w:proofErr w:type="spellEnd"/>
      <w:r>
        <w:t xml:space="preserve"> and dentition in members of families with an instance of cleft palate compared with controls. Omnibus tests only were reported, and are not usable in </w:t>
      </w:r>
      <w:r>
        <w:rPr>
          <w:i/>
        </w:rPr>
        <w:t>p</w:t>
      </w:r>
      <w:r>
        <w:t>-curve analyses.</w:t>
      </w:r>
    </w:p>
    <w:p w:rsidR="007C019C" w:rsidRDefault="00E315BB" w:rsidP="007C019C">
      <w:pPr>
        <w:pStyle w:val="MDPI21heading1"/>
      </w:pPr>
      <w:proofErr w:type="spellStart"/>
      <w:r>
        <w:t>Lalumière</w:t>
      </w:r>
      <w:proofErr w:type="spellEnd"/>
      <w:r>
        <w:t xml:space="preserve">, Harris, &amp; Rice (2001). </w:t>
      </w:r>
    </w:p>
    <w:p w:rsidR="00E315BB" w:rsidRDefault="00E315BB" w:rsidP="007C019C">
      <w:pPr>
        <w:pStyle w:val="MDPI31text"/>
      </w:pPr>
      <w:r>
        <w:t>This study examined the relationship between FA and Psychopathy in three groups, Psychopath offenders, Non-psychopath offenders, and Non-offenders. The main effect of group was reported, however the primary effect of interest, the difference in FA between Psychopath offenders and Non-psychopath offenders, was presented only in graphical form so precise values cannot be established.</w:t>
      </w:r>
    </w:p>
    <w:p w:rsidR="007C019C" w:rsidRDefault="00E315BB" w:rsidP="007C019C">
      <w:pPr>
        <w:pStyle w:val="MDPI21heading1"/>
      </w:pPr>
      <w:proofErr w:type="spellStart"/>
      <w:r>
        <w:rPr>
          <w:bCs/>
        </w:rPr>
        <w:t>Żądzińska</w:t>
      </w:r>
      <w:proofErr w:type="spellEnd"/>
      <w:r>
        <w:t xml:space="preserve"> (2007): </w:t>
      </w:r>
    </w:p>
    <w:p w:rsidR="00A01504" w:rsidRPr="007C019C" w:rsidRDefault="00E315BB" w:rsidP="007C019C">
      <w:pPr>
        <w:pStyle w:val="MDPI31text"/>
      </w:pPr>
      <w:r>
        <w:t xml:space="preserve">This study performed a multiple regression between 14 predictor variables and each of 8 different cephalic FA measurements. Effects are presented as multiple R, representing a linear combination of the predictors, and cannot be interpreted in the same way as a Pearson </w:t>
      </w:r>
      <w:r>
        <w:rPr>
          <w:i/>
        </w:rPr>
        <w:t>r</w:t>
      </w:r>
      <w:r>
        <w:t>.</w:t>
      </w:r>
    </w:p>
    <w:sectPr w:rsidR="00A01504" w:rsidRPr="007C019C" w:rsidSect="00E315BB">
      <w:headerReference w:type="even" r:id="rId8"/>
      <w:headerReference w:type="default" r:id="rId9"/>
      <w:footerReference w:type="default" r:id="rId10"/>
      <w:headerReference w:type="first" r:id="rId11"/>
      <w:footerReference w:type="first" r:id="rId12"/>
      <w:type w:val="continuous"/>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228" w:rsidRDefault="00263228" w:rsidP="00C1340D">
      <w:r>
        <w:separator/>
      </w:r>
    </w:p>
  </w:endnote>
  <w:endnote w:type="continuationSeparator" w:id="0">
    <w:p w:rsidR="00263228" w:rsidRDefault="00263228"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dvTTf90d833a.I">
    <w:panose1 w:val="00000000000000000000"/>
    <w:charset w:val="00"/>
    <w:family w:val="roman"/>
    <w:notTrueType/>
    <w:pitch w:val="default"/>
    <w:sig w:usb0="00000003" w:usb1="00000000" w:usb2="00000000" w:usb3="00000000" w:csb0="00000001" w:csb1="00000000"/>
  </w:font>
  <w:font w:name="AdvP4C4E74">
    <w:panose1 w:val="00000000000000000000"/>
    <w:charset w:val="00"/>
    <w:family w:val="auto"/>
    <w:notTrueType/>
    <w:pitch w:val="default"/>
    <w:sig w:usb0="00000003" w:usb1="00000000" w:usb2="00000000" w:usb3="00000000" w:csb0="00000001" w:csb1="00000000"/>
  </w:font>
  <w:font w:name="AdvOT863180fb+20">
    <w:panose1 w:val="00000000000000000000"/>
    <w:charset w:val="00"/>
    <w:family w:val="swiss"/>
    <w:notTrueType/>
    <w:pitch w:val="default"/>
    <w:sig w:usb0="00000003" w:usb1="00000000" w:usb2="00000000" w:usb3="00000000" w:csb0="00000001" w:csb1="00000000"/>
  </w:font>
  <w:font w:name="AdvOT863180fb+fb">
    <w:panose1 w:val="00000000000000000000"/>
    <w:charset w:val="00"/>
    <w:family w:val="auto"/>
    <w:notTrueType/>
    <w:pitch w:val="default"/>
    <w:sig w:usb0="00000003" w:usb1="00000000" w:usb2="00000000" w:usb3="00000000" w:csb0="00000001" w:csb1="00000000"/>
  </w:font>
  <w:font w:name="AdvOTb92eb7df.I">
    <w:panose1 w:val="00000000000000000000"/>
    <w:charset w:val="00"/>
    <w:family w:val="roman"/>
    <w:notTrueType/>
    <w:pitch w:val="default"/>
    <w:sig w:usb0="00000003" w:usb1="00000000" w:usb2="00000000" w:usb3="00000000" w:csb0="00000001" w:csb1="00000000"/>
  </w:font>
  <w:font w:name="AdvT108">
    <w:panose1 w:val="00000000000000000000"/>
    <w:charset w:val="00"/>
    <w:family w:val="auto"/>
    <w:notTrueType/>
    <w:pitch w:val="default"/>
    <w:sig w:usb0="00000003" w:usb1="00000000" w:usb2="00000000" w:usb3="00000000" w:csb0="00000001" w:csb1="00000000"/>
  </w:font>
  <w:font w:name="CMSY10">
    <w:panose1 w:val="00000000000000000000"/>
    <w:charset w:val="00"/>
    <w:family w:val="auto"/>
    <w:notTrueType/>
    <w:pitch w:val="default"/>
    <w:sig w:usb0="00000003" w:usb1="00000000" w:usb2="00000000" w:usb3="00000000" w:csb0="00000001" w:csb1="00000000"/>
  </w:font>
  <w:font w:name="CMMI10">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AdvTT5843c571">
    <w:altName w:val="Times New Roman"/>
    <w:panose1 w:val="00000000000000000000"/>
    <w:charset w:val="00"/>
    <w:family w:val="roman"/>
    <w:notTrueType/>
    <w:pitch w:val="default"/>
    <w:sig w:usb0="00000003" w:usb1="00000000" w:usb2="00000000" w:usb3="00000000" w:csb0="00000001" w:csb1="00000000"/>
  </w:font>
  <w:font w:name="AdvTT6120e2aa+20">
    <w:panose1 w:val="00000000000000000000"/>
    <w:charset w:val="00"/>
    <w:family w:val="auto"/>
    <w:notTrueType/>
    <w:pitch w:val="default"/>
    <w:sig w:usb0="00000003" w:usb1="00000000" w:usb2="00000000" w:usb3="00000000" w:csb0="00000001" w:csb1="00000000"/>
  </w:font>
  <w:font w:name="AdvTT50a2f13e.I">
    <w:panose1 w:val="00000000000000000000"/>
    <w:charset w:val="00"/>
    <w:family w:val="roman"/>
    <w:notTrueType/>
    <w:pitch w:val="default"/>
    <w:sig w:usb0="00000003" w:usb1="00000000" w:usb2="00000000" w:usb3="00000000" w:csb0="00000001" w:csb1="00000000"/>
  </w:font>
  <w:font w:name="AdvTT454a7a89">
    <w:panose1 w:val="00000000000000000000"/>
    <w:charset w:val="00"/>
    <w:family w:val="swiss"/>
    <w:notTrueType/>
    <w:pitch w:val="default"/>
    <w:sig w:usb0="00000003" w:usb1="00000000" w:usb2="00000000" w:usb3="00000000" w:csb0="00000001" w:csb1="00000000"/>
  </w:font>
  <w:font w:name="Universal-GreekwithMathPi">
    <w:panose1 w:val="00000000000000000000"/>
    <w:charset w:val="00"/>
    <w:family w:val="auto"/>
    <w:notTrueType/>
    <w:pitch w:val="default"/>
    <w:sig w:usb0="00000003" w:usb1="00000000" w:usb2="00000000" w:usb3="00000000" w:csb0="00000001" w:csb1="00000000"/>
  </w:font>
  <w:font w:name="AdvPS8588">
    <w:panose1 w:val="00000000000000000000"/>
    <w:charset w:val="00"/>
    <w:family w:val="swiss"/>
    <w:notTrueType/>
    <w:pitch w:val="default"/>
    <w:sig w:usb0="00000003" w:usb1="00000000" w:usb2="00000000" w:usb3="00000000" w:csb0="00000001" w:csb1="00000000"/>
  </w:font>
  <w:font w:name="AdvPS3FDD77">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BF5" w:rsidRPr="005456DA" w:rsidRDefault="00953BF5" w:rsidP="005456DA">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Palatino Linotype" w:hAnsi="Palatino Linotype"/>
        <w:i/>
        <w:sz w:val="20"/>
      </w:rPr>
      <w:id w:val="1717389558"/>
      <w:docPartObj>
        <w:docPartGallery w:val="Page Numbers (Top of Page)"/>
        <w:docPartUnique/>
      </w:docPartObj>
    </w:sdtPr>
    <w:sdtEndPr>
      <w:rPr>
        <w:i w:val="0"/>
        <w:sz w:val="16"/>
        <w:szCs w:val="16"/>
      </w:rPr>
    </w:sdtEndPr>
    <w:sdtContent>
      <w:p w:rsidR="00391035" w:rsidRPr="00372FCD" w:rsidRDefault="001A5461" w:rsidP="00B65510">
        <w:pPr>
          <w:adjustRightInd w:val="0"/>
          <w:snapToGrid w:val="0"/>
          <w:spacing w:before="120" w:line="240" w:lineRule="auto"/>
          <w:rPr>
            <w:rFonts w:ascii="Palatino Linotype" w:hAnsi="Palatino Linotype"/>
            <w:sz w:val="16"/>
            <w:szCs w:val="16"/>
            <w:lang w:val="fr-CH"/>
          </w:rPr>
        </w:pPr>
        <w:r w:rsidRPr="001A5461">
          <w:rPr>
            <w:rFonts w:ascii="Palatino Linotype" w:hAnsi="Palatino Linotype"/>
            <w:i/>
            <w:sz w:val="16"/>
            <w:szCs w:val="16"/>
          </w:rPr>
          <w:t>Symmetry</w:t>
        </w:r>
        <w:r>
          <w:rPr>
            <w:rFonts w:ascii="Palatino Linotype" w:hAnsi="Palatino Linotype"/>
            <w:i/>
            <w:sz w:val="16"/>
            <w:szCs w:val="16"/>
          </w:rPr>
          <w:t xml:space="preserve"> </w:t>
        </w:r>
        <w:r w:rsidR="00550E34" w:rsidRPr="00B65510">
          <w:rPr>
            <w:rFonts w:ascii="Palatino Linotype" w:hAnsi="Palatino Linotype"/>
            <w:b/>
            <w:bCs/>
            <w:iCs/>
            <w:sz w:val="16"/>
            <w:szCs w:val="16"/>
          </w:rPr>
          <w:t>201</w:t>
        </w:r>
        <w:r w:rsidR="005C6986">
          <w:rPr>
            <w:rFonts w:ascii="Palatino Linotype" w:eastAsia="宋体" w:hAnsi="Palatino Linotype"/>
            <w:b/>
            <w:bCs/>
            <w:iCs/>
            <w:sz w:val="16"/>
            <w:szCs w:val="16"/>
            <w:lang w:eastAsia="zh-CN"/>
          </w:rPr>
          <w:t>7</w:t>
        </w:r>
        <w:r w:rsidR="00550E34" w:rsidRPr="00B65510">
          <w:rPr>
            <w:rFonts w:ascii="Palatino Linotype" w:hAnsi="Palatino Linotype"/>
            <w:iCs/>
            <w:sz w:val="16"/>
            <w:szCs w:val="16"/>
          </w:rPr>
          <w:t xml:space="preserve">, </w:t>
        </w:r>
        <w:r w:rsidR="005C6986">
          <w:rPr>
            <w:rFonts w:ascii="Palatino Linotype" w:eastAsia="宋体" w:hAnsi="Palatino Linotype"/>
            <w:i/>
            <w:iCs/>
            <w:sz w:val="16"/>
            <w:szCs w:val="16"/>
            <w:lang w:eastAsia="zh-CN"/>
          </w:rPr>
          <w:t>9</w:t>
        </w:r>
        <w:r w:rsidR="00550E34" w:rsidRPr="00B65510">
          <w:rPr>
            <w:rFonts w:ascii="Palatino Linotype" w:hAnsi="Palatino Linotype"/>
            <w:iCs/>
            <w:sz w:val="16"/>
            <w:szCs w:val="16"/>
          </w:rPr>
          <w:t>,</w:t>
        </w:r>
        <w:r w:rsidR="00550E34" w:rsidRPr="00B65510">
          <w:rPr>
            <w:rFonts w:ascii="Palatino Linotype" w:eastAsia="宋体" w:hAnsi="Palatino Linotype"/>
            <w:sz w:val="16"/>
            <w:szCs w:val="16"/>
            <w:lang w:eastAsia="zh-CN"/>
          </w:rPr>
          <w:t xml:space="preserve"> </w:t>
        </w:r>
        <w:r w:rsidR="005456DA">
          <w:rPr>
            <w:rFonts w:ascii="Palatino Linotype" w:hAnsi="Palatino Linotype"/>
            <w:sz w:val="16"/>
            <w:szCs w:val="16"/>
          </w:rPr>
          <w:t>x</w:t>
        </w:r>
        <w:r w:rsidR="00391035" w:rsidRPr="00B65510">
          <w:rPr>
            <w:rFonts w:ascii="Palatino Linotype" w:hAnsi="Palatino Linotype"/>
            <w:sz w:val="16"/>
            <w:szCs w:val="16"/>
            <w:lang w:val="fr-CH"/>
          </w:rPr>
          <w:t xml:space="preserve">; </w:t>
        </w:r>
        <w:proofErr w:type="spellStart"/>
        <w:r w:rsidR="00391035" w:rsidRPr="00B65510">
          <w:rPr>
            <w:rFonts w:ascii="Palatino Linotype" w:hAnsi="Palatino Linotype"/>
            <w:sz w:val="16"/>
            <w:szCs w:val="16"/>
            <w:lang w:val="fr-CH"/>
          </w:rPr>
          <w:t>doi</w:t>
        </w:r>
        <w:proofErr w:type="spellEnd"/>
        <w:r w:rsidR="00391035" w:rsidRPr="00B65510">
          <w:rPr>
            <w:rFonts w:ascii="Palatino Linotype" w:hAnsi="Palatino Linotype"/>
            <w:sz w:val="16"/>
            <w:szCs w:val="16"/>
            <w:lang w:val="fr-CH"/>
          </w:rPr>
          <w:t>:</w:t>
        </w:r>
        <w:r w:rsidR="001226C8" w:rsidRPr="001226C8">
          <w:rPr>
            <w:rFonts w:ascii="Palatino Linotype" w:hAnsi="Palatino Linotype"/>
            <w:sz w:val="16"/>
            <w:szCs w:val="16"/>
            <w:lang w:val="en-GB"/>
          </w:rPr>
          <w:t xml:space="preserve"> </w:t>
        </w:r>
        <w:r w:rsidR="001226C8">
          <w:rPr>
            <w:rFonts w:ascii="Palatino Linotype" w:hAnsi="Palatino Linotype"/>
            <w:sz w:val="16"/>
            <w:szCs w:val="16"/>
            <w:lang w:val="en-GB"/>
          </w:rPr>
          <w:t>FOR PEER REVIEW</w:t>
        </w:r>
        <w:r w:rsidR="00D56CDD">
          <w:rPr>
            <w:rFonts w:ascii="Palatino Linotype" w:hAnsi="Palatino Linotype"/>
            <w:sz w:val="16"/>
            <w:szCs w:val="16"/>
            <w:lang w:val="en-GB"/>
          </w:rPr>
          <w:t xml:space="preserve"> </w:t>
        </w:r>
        <w:r w:rsidR="00372FCD">
          <w:rPr>
            <w:rFonts w:ascii="Palatino Linotype" w:hAnsi="Palatino Linotype"/>
            <w:sz w:val="20"/>
            <w:lang w:val="fr-CH"/>
          </w:rPr>
          <w:ptab w:relativeTo="margin" w:alignment="right" w:leader="none"/>
        </w:r>
        <w:r w:rsidR="00391035" w:rsidRPr="00372FCD">
          <w:rPr>
            <w:rFonts w:ascii="Palatino Linotype" w:hAnsi="Palatino Linotype"/>
            <w:sz w:val="16"/>
            <w:szCs w:val="16"/>
            <w:lang w:val="fr-CH"/>
          </w:rPr>
          <w:t>www.mdpi.com/journal/</w:t>
        </w:r>
        <w:r w:rsidRPr="001A5461">
          <w:rPr>
            <w:rFonts w:ascii="Palatino Linotype" w:hAnsi="Palatino Linotype"/>
            <w:sz w:val="16"/>
            <w:szCs w:val="16"/>
          </w:rPr>
          <w:t>symmetry</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228" w:rsidRDefault="00263228" w:rsidP="00C1340D">
      <w:r>
        <w:separator/>
      </w:r>
    </w:p>
  </w:footnote>
  <w:footnote w:type="continuationSeparator" w:id="0">
    <w:p w:rsidR="00263228" w:rsidRDefault="00263228" w:rsidP="00C13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BF5" w:rsidRDefault="00953BF5" w:rsidP="00225F3F">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035" w:rsidRPr="00E315BB" w:rsidRDefault="00E315BB" w:rsidP="00E315BB">
    <w:pPr>
      <w:adjustRightInd w:val="0"/>
      <w:snapToGrid w:val="0"/>
      <w:spacing w:after="240" w:line="240" w:lineRule="auto"/>
      <w:rPr>
        <w:rFonts w:ascii="Palatino Linotype" w:hAnsi="Palatino Linotype"/>
        <w:sz w:val="16"/>
      </w:rPr>
    </w:pPr>
    <w:r>
      <w:rPr>
        <w:rFonts w:ascii="Palatino Linotype" w:hAnsi="Palatino Linotype"/>
        <w:i/>
        <w:sz w:val="16"/>
      </w:rPr>
      <w:t xml:space="preserve">Symmetry </w:t>
    </w:r>
    <w:r>
      <w:rPr>
        <w:rFonts w:ascii="Palatino Linotype" w:hAnsi="Palatino Linotype"/>
        <w:b/>
        <w:sz w:val="16"/>
      </w:rPr>
      <w:t>2017</w:t>
    </w:r>
    <w:r>
      <w:rPr>
        <w:rFonts w:ascii="Palatino Linotype" w:hAnsi="Palatino Linotype"/>
        <w:sz w:val="16"/>
      </w:rPr>
      <w:t xml:space="preserve">, </w:t>
    </w:r>
    <w:r>
      <w:rPr>
        <w:rFonts w:ascii="Palatino Linotype" w:hAnsi="Palatino Linotype"/>
        <w:i/>
        <w:sz w:val="16"/>
      </w:rPr>
      <w:t>9</w:t>
    </w:r>
    <w:r>
      <w:rPr>
        <w:rFonts w:ascii="Palatino Linotype" w:hAnsi="Palatino Linotype"/>
        <w:sz w:val="16"/>
      </w:rPr>
      <w:t xml:space="preserve">, x FOR PEER REVIEW </w:t>
    </w:r>
    <w:r>
      <w:rPr>
        <w:rFonts w:ascii="Palatino Linotype" w:hAnsi="Palatino Linotype"/>
        <w:sz w:val="16"/>
      </w:rPr>
      <w:ptab w:relativeTo="margin" w:alignment="right" w:leader="none"/>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7C019C">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7C019C">
      <w:rPr>
        <w:rFonts w:ascii="Palatino Linotype" w:hAnsi="Palatino Linotype"/>
        <w:noProof/>
        <w:sz w:val="16"/>
      </w:rPr>
      <w:t>11</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0B3" w:rsidRDefault="00E53888" w:rsidP="005456DA">
    <w:pPr>
      <w:pStyle w:val="MDPIheaderjournallogo"/>
      <w:tabs>
        <w:tab w:val="right" w:pos="8844"/>
      </w:tabs>
    </w:pPr>
    <w:r>
      <w:rPr>
        <w:i w:val="0"/>
        <w:noProof/>
        <w:szCs w:val="16"/>
        <w:lang w:eastAsia="zh-CN"/>
      </w:rPr>
      <mc:AlternateContent>
        <mc:Choice Requires="wps">
          <w:drawing>
            <wp:anchor distT="45720" distB="45720" distL="114300" distR="114300" simplePos="0" relativeHeight="251657728" behindDoc="1" locked="0" layoutInCell="1" allowOverlap="1">
              <wp:simplePos x="0" y="0"/>
              <wp:positionH relativeFrom="rightMargin">
                <wp:posOffset>-558165</wp:posOffset>
              </wp:positionH>
              <wp:positionV relativeFrom="paragraph">
                <wp:posOffset>0</wp:posOffset>
              </wp:positionV>
              <wp:extent cx="571500"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709295"/>
                      </a:xfrm>
                      <a:prstGeom prst="rect">
                        <a:avLst/>
                      </a:prstGeom>
                      <a:solidFill>
                        <a:srgbClr val="FFFFFF"/>
                      </a:solidFill>
                      <a:ln w="9525">
                        <a:noFill/>
                        <a:miter lim="800000"/>
                        <a:headEnd/>
                        <a:tailEnd/>
                      </a:ln>
                    </wps:spPr>
                    <wps:txbx>
                      <w:txbxContent>
                        <w:p w:rsidR="008810B3" w:rsidRDefault="008810B3" w:rsidP="001E2C7B">
                          <w:pPr>
                            <w:pStyle w:val="MDPIheaderjournallogo"/>
                            <w:jc w:val="center"/>
                            <w:textboxTightWrap w:val="allLines"/>
                            <w:rPr>
                              <w:i w:val="0"/>
                              <w:szCs w:val="16"/>
                            </w:rPr>
                          </w:pP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95pt;margin-top:0;width:45pt;height:55.85pt;z-index:-251658752;visibility:visible;mso-wrap-style:non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uVnFAIAAAoEAAAOAAAAZHJzL2Uyb0RvYy54bWysU8Fu2zAMvQ/YPwi6L3YCZGmNOEWXLsOA&#10;bh3Q7gNoWY6FSaIgqbGzrx8lJ2m33YbpIFAS+Ug+Pq1vRqPZQfqg0NZ8Pis5k1Zgq+y+5t+fdu+u&#10;OAsRbAsaraz5UQZ+s3n7Zj24Si6wR91KzwjEhmpwNe9jdFVRBNFLA2GGTlp67NAbiHT0+6L1MBC6&#10;0cWiLN8XA/rWeRQyBLq9mx75JuN3nRTxoeuCjEzXnGqLefd5b9JebNZQ7T24XolTGfAPVRhQlpJe&#10;oO4gAnv26i8oo4THgF2cCTQFdp0SMvdA3czLP7p57MHJ3AuRE9yFpvD/YMXXwzfPVFvzxXzFmQVD&#10;Q3qSY2QfcGSLxM/gQkVuj44c40jXNOfca3D3KH4EZnHbg93LW+9x6CW0VN88RRavQieckECa4Qu2&#10;lAaeI2agsfMmkUd0MEKnOR0vs0mlCLpcrubLkl4EPa3K68X1MmeA6hzsfIifJBqWjJp7Gn0Gh8N9&#10;iKkYqM4uKVdArdqd0jof/L7Zas8OQDLZ5XVC/81NWzbU/Hq5WGZkiyk+K8ioSDLWytT8qkwrhUOV&#10;yPho22xHUHqyqRJtT+wkQiZq4tiM5Jgoa7A9Ek8eJ7nS9yKjR/+Ts4GkWnNLf4kz/dkS00nVZ8Of&#10;jeZsgBUUWPPI2WRuY1Z/qs7iLU2gU5mdl7ynykhwmbTT50iKfn3OXi9fePMLAAD//wMAUEsDBBQA&#10;BgAIAAAAIQAq4UHf2wAAAAYBAAAPAAAAZHJzL2Rvd25yZXYueG1sTI/LTsMwEEX3SP0Hayqxa51U&#10;KgkhToUq8RC7lnyAG0+TCD9S23nw9wwrWI7u0b1nysNiNJvQh95ZAek2AYa2caq3rYD682WTAwtR&#10;WiW1syjgGwMcqtVdKQvlZnvC6RxbRiU2FFJAF+NQcB6aDo0MWzegpezqvJGRTt9y5eVM5UbzXZI8&#10;cCN7SwudHPDYYfN1Ho2AMVxnfcqnD6zfj/v69Zbt325eiPv18vwELOIS/2D41Sd1qMjp4karAtMC&#10;Nnn2SKgA+ojiXQrsQlSaZsCrkv/Xr34AAAD//wMAUEsBAi0AFAAGAAgAAAAhALaDOJL+AAAA4QEA&#10;ABMAAAAAAAAAAAAAAAAAAAAAAFtDb250ZW50X1R5cGVzXS54bWxQSwECLQAUAAYACAAAACEAOP0h&#10;/9YAAACUAQAACwAAAAAAAAAAAAAAAAAvAQAAX3JlbHMvLnJlbHNQSwECLQAUAAYACAAAACEACBrl&#10;ZxQCAAAKBAAADgAAAAAAAAAAAAAAAAAuAgAAZHJzL2Uyb0RvYy54bWxQSwECLQAUAAYACAAAACEA&#10;KuFB39sAAAAGAQAADwAAAAAAAAAAAAAAAABuBAAAZHJzL2Rvd25yZXYueG1sUEsFBgAAAAAEAAQA&#10;8wAAAHYFAAAAAA==&#10;" stroked="f">
              <v:textbox inset="0,0,0,0">
                <w:txbxContent>
                  <w:p w:rsidR="008810B3" w:rsidRDefault="008810B3" w:rsidP="001E2C7B">
                    <w:pPr>
                      <w:pStyle w:val="MDPIheaderjournallogo"/>
                      <w:jc w:val="center"/>
                      <w:textboxTightWrap w:val="allLines"/>
                      <w:rPr>
                        <w:i w:val="0"/>
                        <w:szCs w:val="16"/>
                      </w:rPr>
                    </w:pPr>
                  </w:p>
                </w:txbxContent>
              </v:textbox>
              <w10:wrap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nsid w:val="430B505B"/>
    <w:multiLevelType w:val="hybridMultilevel"/>
    <w:tmpl w:val="43DCC672"/>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73C370A"/>
    <w:multiLevelType w:val="hybridMultilevel"/>
    <w:tmpl w:val="A1444C62"/>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5">
    <w:nsid w:val="6DB20A64"/>
    <w:multiLevelType w:val="hybridMultilevel"/>
    <w:tmpl w:val="9F3C4F22"/>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1"/>
  </w:num>
  <w:num w:numId="2">
    <w:abstractNumId w:val="2"/>
  </w:num>
  <w:num w:numId="3">
    <w:abstractNumId w:val="0"/>
  </w:num>
  <w:num w:numId="4">
    <w:abstractNumId w:val="4"/>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5BB"/>
    <w:rsid w:val="00000637"/>
    <w:rsid w:val="000006F8"/>
    <w:rsid w:val="000046B6"/>
    <w:rsid w:val="00004BA7"/>
    <w:rsid w:val="00005FC2"/>
    <w:rsid w:val="00011BC3"/>
    <w:rsid w:val="0001283B"/>
    <w:rsid w:val="0002090C"/>
    <w:rsid w:val="00024621"/>
    <w:rsid w:val="0002467B"/>
    <w:rsid w:val="00025A91"/>
    <w:rsid w:val="00025C56"/>
    <w:rsid w:val="000319B8"/>
    <w:rsid w:val="0003351A"/>
    <w:rsid w:val="00034840"/>
    <w:rsid w:val="00034BF8"/>
    <w:rsid w:val="000361F7"/>
    <w:rsid w:val="00037F00"/>
    <w:rsid w:val="00041A10"/>
    <w:rsid w:val="0004245C"/>
    <w:rsid w:val="00042C12"/>
    <w:rsid w:val="000439F3"/>
    <w:rsid w:val="00043F91"/>
    <w:rsid w:val="00044417"/>
    <w:rsid w:val="0004473F"/>
    <w:rsid w:val="00045898"/>
    <w:rsid w:val="00050716"/>
    <w:rsid w:val="00050C65"/>
    <w:rsid w:val="000520E3"/>
    <w:rsid w:val="000551E0"/>
    <w:rsid w:val="000562B9"/>
    <w:rsid w:val="00056DBB"/>
    <w:rsid w:val="000578BD"/>
    <w:rsid w:val="000602E4"/>
    <w:rsid w:val="000605CD"/>
    <w:rsid w:val="000630A5"/>
    <w:rsid w:val="00063A6A"/>
    <w:rsid w:val="0006467F"/>
    <w:rsid w:val="00071D03"/>
    <w:rsid w:val="00073BD9"/>
    <w:rsid w:val="00077A9D"/>
    <w:rsid w:val="00082D78"/>
    <w:rsid w:val="000833FA"/>
    <w:rsid w:val="000848F9"/>
    <w:rsid w:val="00094176"/>
    <w:rsid w:val="000A0E49"/>
    <w:rsid w:val="000A0F29"/>
    <w:rsid w:val="000A3155"/>
    <w:rsid w:val="000A411D"/>
    <w:rsid w:val="000A45A9"/>
    <w:rsid w:val="000A5FAE"/>
    <w:rsid w:val="000B05D0"/>
    <w:rsid w:val="000B38AC"/>
    <w:rsid w:val="000B529D"/>
    <w:rsid w:val="000B5482"/>
    <w:rsid w:val="000B7EF6"/>
    <w:rsid w:val="000C299D"/>
    <w:rsid w:val="000C4A82"/>
    <w:rsid w:val="000C4B5D"/>
    <w:rsid w:val="000C4BF2"/>
    <w:rsid w:val="000C4FB6"/>
    <w:rsid w:val="000D0305"/>
    <w:rsid w:val="000D0745"/>
    <w:rsid w:val="000D0874"/>
    <w:rsid w:val="000D093A"/>
    <w:rsid w:val="000D166F"/>
    <w:rsid w:val="000D2842"/>
    <w:rsid w:val="000D2F06"/>
    <w:rsid w:val="000D5554"/>
    <w:rsid w:val="000E08FD"/>
    <w:rsid w:val="000E0A06"/>
    <w:rsid w:val="000E35FE"/>
    <w:rsid w:val="000E37D1"/>
    <w:rsid w:val="000E7A5D"/>
    <w:rsid w:val="000F0E85"/>
    <w:rsid w:val="000F0F9F"/>
    <w:rsid w:val="000F4E0E"/>
    <w:rsid w:val="00100B2F"/>
    <w:rsid w:val="00100FE2"/>
    <w:rsid w:val="00103405"/>
    <w:rsid w:val="00103634"/>
    <w:rsid w:val="00104294"/>
    <w:rsid w:val="001170CF"/>
    <w:rsid w:val="0011779E"/>
    <w:rsid w:val="0012125D"/>
    <w:rsid w:val="001226C8"/>
    <w:rsid w:val="00124285"/>
    <w:rsid w:val="0012462F"/>
    <w:rsid w:val="00125D07"/>
    <w:rsid w:val="001268A0"/>
    <w:rsid w:val="00127B58"/>
    <w:rsid w:val="00130902"/>
    <w:rsid w:val="00130F88"/>
    <w:rsid w:val="00131F3D"/>
    <w:rsid w:val="001352B6"/>
    <w:rsid w:val="00135C14"/>
    <w:rsid w:val="00140A39"/>
    <w:rsid w:val="0014158B"/>
    <w:rsid w:val="00143181"/>
    <w:rsid w:val="00144660"/>
    <w:rsid w:val="00144DC5"/>
    <w:rsid w:val="00144E54"/>
    <w:rsid w:val="00145F5A"/>
    <w:rsid w:val="00150342"/>
    <w:rsid w:val="00151E48"/>
    <w:rsid w:val="00152F85"/>
    <w:rsid w:val="00155401"/>
    <w:rsid w:val="00156006"/>
    <w:rsid w:val="00160C50"/>
    <w:rsid w:val="0016263E"/>
    <w:rsid w:val="001632F9"/>
    <w:rsid w:val="00163372"/>
    <w:rsid w:val="00165A01"/>
    <w:rsid w:val="001665A2"/>
    <w:rsid w:val="0016702F"/>
    <w:rsid w:val="001732EE"/>
    <w:rsid w:val="001739FB"/>
    <w:rsid w:val="00173FC0"/>
    <w:rsid w:val="001763AE"/>
    <w:rsid w:val="00176BBA"/>
    <w:rsid w:val="00176DC5"/>
    <w:rsid w:val="00176E73"/>
    <w:rsid w:val="0017709E"/>
    <w:rsid w:val="001812DE"/>
    <w:rsid w:val="00184B65"/>
    <w:rsid w:val="00184ECF"/>
    <w:rsid w:val="001854A7"/>
    <w:rsid w:val="001860DD"/>
    <w:rsid w:val="00192141"/>
    <w:rsid w:val="001929BE"/>
    <w:rsid w:val="00193EBD"/>
    <w:rsid w:val="00194DCB"/>
    <w:rsid w:val="001A0D5B"/>
    <w:rsid w:val="001A103B"/>
    <w:rsid w:val="001A2D5C"/>
    <w:rsid w:val="001A3926"/>
    <w:rsid w:val="001A4A0E"/>
    <w:rsid w:val="001A5461"/>
    <w:rsid w:val="001A7D08"/>
    <w:rsid w:val="001B09F9"/>
    <w:rsid w:val="001B22D3"/>
    <w:rsid w:val="001B2E32"/>
    <w:rsid w:val="001B396D"/>
    <w:rsid w:val="001B3A0F"/>
    <w:rsid w:val="001B446E"/>
    <w:rsid w:val="001B50DB"/>
    <w:rsid w:val="001C0136"/>
    <w:rsid w:val="001C0A1F"/>
    <w:rsid w:val="001C2A2E"/>
    <w:rsid w:val="001C3B86"/>
    <w:rsid w:val="001C6374"/>
    <w:rsid w:val="001D0A2E"/>
    <w:rsid w:val="001D0BD8"/>
    <w:rsid w:val="001D4C88"/>
    <w:rsid w:val="001D4CBF"/>
    <w:rsid w:val="001D5C83"/>
    <w:rsid w:val="001D5CB0"/>
    <w:rsid w:val="001D7118"/>
    <w:rsid w:val="001D7351"/>
    <w:rsid w:val="001E0BFA"/>
    <w:rsid w:val="001E26BA"/>
    <w:rsid w:val="001E3DBC"/>
    <w:rsid w:val="001F2913"/>
    <w:rsid w:val="001F45A9"/>
    <w:rsid w:val="001F55DC"/>
    <w:rsid w:val="001F5A4A"/>
    <w:rsid w:val="0020147D"/>
    <w:rsid w:val="002021CF"/>
    <w:rsid w:val="002026F5"/>
    <w:rsid w:val="00206B4D"/>
    <w:rsid w:val="0021202D"/>
    <w:rsid w:val="00214190"/>
    <w:rsid w:val="00216FA9"/>
    <w:rsid w:val="00220209"/>
    <w:rsid w:val="002220D5"/>
    <w:rsid w:val="00223A64"/>
    <w:rsid w:val="00225217"/>
    <w:rsid w:val="00225F3F"/>
    <w:rsid w:val="00226AB1"/>
    <w:rsid w:val="00234505"/>
    <w:rsid w:val="00235077"/>
    <w:rsid w:val="00235973"/>
    <w:rsid w:val="00236969"/>
    <w:rsid w:val="00236C0D"/>
    <w:rsid w:val="00236D35"/>
    <w:rsid w:val="00236F94"/>
    <w:rsid w:val="00237EDD"/>
    <w:rsid w:val="0024084D"/>
    <w:rsid w:val="00240C8C"/>
    <w:rsid w:val="00241C14"/>
    <w:rsid w:val="002434C9"/>
    <w:rsid w:val="00246CE0"/>
    <w:rsid w:val="0025127B"/>
    <w:rsid w:val="00251811"/>
    <w:rsid w:val="0025232D"/>
    <w:rsid w:val="00252515"/>
    <w:rsid w:val="0025259B"/>
    <w:rsid w:val="00252BD9"/>
    <w:rsid w:val="00253193"/>
    <w:rsid w:val="00255B5C"/>
    <w:rsid w:val="00257403"/>
    <w:rsid w:val="0025777F"/>
    <w:rsid w:val="00261B77"/>
    <w:rsid w:val="00263228"/>
    <w:rsid w:val="00263890"/>
    <w:rsid w:val="0026479E"/>
    <w:rsid w:val="002665A2"/>
    <w:rsid w:val="00271978"/>
    <w:rsid w:val="00272574"/>
    <w:rsid w:val="00273440"/>
    <w:rsid w:val="0027513B"/>
    <w:rsid w:val="0027593D"/>
    <w:rsid w:val="00275F7E"/>
    <w:rsid w:val="00276B71"/>
    <w:rsid w:val="0027713B"/>
    <w:rsid w:val="002813F6"/>
    <w:rsid w:val="0028335A"/>
    <w:rsid w:val="00285954"/>
    <w:rsid w:val="00285A67"/>
    <w:rsid w:val="0028727D"/>
    <w:rsid w:val="002915B6"/>
    <w:rsid w:val="0029287A"/>
    <w:rsid w:val="00294C2F"/>
    <w:rsid w:val="0029628E"/>
    <w:rsid w:val="00296EB7"/>
    <w:rsid w:val="002A31E4"/>
    <w:rsid w:val="002A66E9"/>
    <w:rsid w:val="002B0BCA"/>
    <w:rsid w:val="002B37F5"/>
    <w:rsid w:val="002B413D"/>
    <w:rsid w:val="002B4981"/>
    <w:rsid w:val="002B75A2"/>
    <w:rsid w:val="002B7893"/>
    <w:rsid w:val="002C0E6A"/>
    <w:rsid w:val="002C28DD"/>
    <w:rsid w:val="002C300A"/>
    <w:rsid w:val="002C5045"/>
    <w:rsid w:val="002C6C5F"/>
    <w:rsid w:val="002C7423"/>
    <w:rsid w:val="002C7CEB"/>
    <w:rsid w:val="002D0834"/>
    <w:rsid w:val="002D2055"/>
    <w:rsid w:val="002D476D"/>
    <w:rsid w:val="002D4F9D"/>
    <w:rsid w:val="002D7EB2"/>
    <w:rsid w:val="002E0B8D"/>
    <w:rsid w:val="002E11AF"/>
    <w:rsid w:val="002E1F9C"/>
    <w:rsid w:val="002E2696"/>
    <w:rsid w:val="002E45FF"/>
    <w:rsid w:val="002E4AE9"/>
    <w:rsid w:val="002E59FA"/>
    <w:rsid w:val="002E699F"/>
    <w:rsid w:val="002F0022"/>
    <w:rsid w:val="002F1F90"/>
    <w:rsid w:val="002F30E0"/>
    <w:rsid w:val="002F3A40"/>
    <w:rsid w:val="002F6006"/>
    <w:rsid w:val="002F667B"/>
    <w:rsid w:val="002F6728"/>
    <w:rsid w:val="002F6FC8"/>
    <w:rsid w:val="00300F39"/>
    <w:rsid w:val="0030282D"/>
    <w:rsid w:val="0030286C"/>
    <w:rsid w:val="0030379B"/>
    <w:rsid w:val="003053D7"/>
    <w:rsid w:val="00305668"/>
    <w:rsid w:val="003066AC"/>
    <w:rsid w:val="00306771"/>
    <w:rsid w:val="0030792C"/>
    <w:rsid w:val="00307DAD"/>
    <w:rsid w:val="00312F5B"/>
    <w:rsid w:val="0031308C"/>
    <w:rsid w:val="0031392A"/>
    <w:rsid w:val="003167AC"/>
    <w:rsid w:val="0032250E"/>
    <w:rsid w:val="00322580"/>
    <w:rsid w:val="003229FD"/>
    <w:rsid w:val="003246E2"/>
    <w:rsid w:val="0032589B"/>
    <w:rsid w:val="003260DD"/>
    <w:rsid w:val="0033124F"/>
    <w:rsid w:val="0033164F"/>
    <w:rsid w:val="00332486"/>
    <w:rsid w:val="00333C2D"/>
    <w:rsid w:val="003352F1"/>
    <w:rsid w:val="00336080"/>
    <w:rsid w:val="00336BEA"/>
    <w:rsid w:val="003379F5"/>
    <w:rsid w:val="00340477"/>
    <w:rsid w:val="00341638"/>
    <w:rsid w:val="00341815"/>
    <w:rsid w:val="00344684"/>
    <w:rsid w:val="00344DFE"/>
    <w:rsid w:val="00346A68"/>
    <w:rsid w:val="00346B1B"/>
    <w:rsid w:val="00347596"/>
    <w:rsid w:val="00352D55"/>
    <w:rsid w:val="0035313A"/>
    <w:rsid w:val="0035340A"/>
    <w:rsid w:val="00353B41"/>
    <w:rsid w:val="0035469E"/>
    <w:rsid w:val="0035521D"/>
    <w:rsid w:val="00357207"/>
    <w:rsid w:val="00363D81"/>
    <w:rsid w:val="00367166"/>
    <w:rsid w:val="00367343"/>
    <w:rsid w:val="003675B2"/>
    <w:rsid w:val="00367C05"/>
    <w:rsid w:val="00370569"/>
    <w:rsid w:val="003709EC"/>
    <w:rsid w:val="00372FCD"/>
    <w:rsid w:val="00373D16"/>
    <w:rsid w:val="00373F32"/>
    <w:rsid w:val="00374898"/>
    <w:rsid w:val="00376FA1"/>
    <w:rsid w:val="00381C2D"/>
    <w:rsid w:val="00381D89"/>
    <w:rsid w:val="00381FC4"/>
    <w:rsid w:val="003835CE"/>
    <w:rsid w:val="003855CF"/>
    <w:rsid w:val="003902E6"/>
    <w:rsid w:val="00391035"/>
    <w:rsid w:val="003911F6"/>
    <w:rsid w:val="00391F71"/>
    <w:rsid w:val="003938E0"/>
    <w:rsid w:val="00394742"/>
    <w:rsid w:val="00396888"/>
    <w:rsid w:val="003A0FDD"/>
    <w:rsid w:val="003A116E"/>
    <w:rsid w:val="003A1FCC"/>
    <w:rsid w:val="003A2168"/>
    <w:rsid w:val="003A3F7E"/>
    <w:rsid w:val="003A445F"/>
    <w:rsid w:val="003A4FD3"/>
    <w:rsid w:val="003A5E59"/>
    <w:rsid w:val="003B2A22"/>
    <w:rsid w:val="003B3A7C"/>
    <w:rsid w:val="003B4E63"/>
    <w:rsid w:val="003B559A"/>
    <w:rsid w:val="003B65E3"/>
    <w:rsid w:val="003C014C"/>
    <w:rsid w:val="003C245C"/>
    <w:rsid w:val="003C2C26"/>
    <w:rsid w:val="003C4A20"/>
    <w:rsid w:val="003C4AAF"/>
    <w:rsid w:val="003C7C01"/>
    <w:rsid w:val="003D1BCF"/>
    <w:rsid w:val="003D2888"/>
    <w:rsid w:val="003D2BC8"/>
    <w:rsid w:val="003D6836"/>
    <w:rsid w:val="003D6DF8"/>
    <w:rsid w:val="003D740F"/>
    <w:rsid w:val="003E08EB"/>
    <w:rsid w:val="003E0C56"/>
    <w:rsid w:val="003E14E1"/>
    <w:rsid w:val="003E2B81"/>
    <w:rsid w:val="003E5F91"/>
    <w:rsid w:val="003E68A1"/>
    <w:rsid w:val="003F0471"/>
    <w:rsid w:val="003F21C8"/>
    <w:rsid w:val="003F2876"/>
    <w:rsid w:val="003F35A6"/>
    <w:rsid w:val="003F368E"/>
    <w:rsid w:val="003F4AE6"/>
    <w:rsid w:val="003F6004"/>
    <w:rsid w:val="003F6831"/>
    <w:rsid w:val="003F693E"/>
    <w:rsid w:val="00401EA0"/>
    <w:rsid w:val="0040655F"/>
    <w:rsid w:val="00407752"/>
    <w:rsid w:val="00411667"/>
    <w:rsid w:val="004123C0"/>
    <w:rsid w:val="00412F36"/>
    <w:rsid w:val="00412FD3"/>
    <w:rsid w:val="004137AF"/>
    <w:rsid w:val="00415FB0"/>
    <w:rsid w:val="00416645"/>
    <w:rsid w:val="00417A0D"/>
    <w:rsid w:val="00423429"/>
    <w:rsid w:val="00424882"/>
    <w:rsid w:val="00425AEA"/>
    <w:rsid w:val="0042627E"/>
    <w:rsid w:val="004262FE"/>
    <w:rsid w:val="00427902"/>
    <w:rsid w:val="0043115A"/>
    <w:rsid w:val="00432800"/>
    <w:rsid w:val="00433837"/>
    <w:rsid w:val="00434423"/>
    <w:rsid w:val="00436BA8"/>
    <w:rsid w:val="0043748F"/>
    <w:rsid w:val="004378B1"/>
    <w:rsid w:val="0044006E"/>
    <w:rsid w:val="00441209"/>
    <w:rsid w:val="00441AF9"/>
    <w:rsid w:val="00441FA3"/>
    <w:rsid w:val="004466AA"/>
    <w:rsid w:val="00446CA3"/>
    <w:rsid w:val="0045011E"/>
    <w:rsid w:val="0045101B"/>
    <w:rsid w:val="004539D4"/>
    <w:rsid w:val="00453CFB"/>
    <w:rsid w:val="0045405C"/>
    <w:rsid w:val="004540F5"/>
    <w:rsid w:val="00455021"/>
    <w:rsid w:val="00456BA6"/>
    <w:rsid w:val="00461413"/>
    <w:rsid w:val="004614D9"/>
    <w:rsid w:val="00461DA2"/>
    <w:rsid w:val="00462789"/>
    <w:rsid w:val="00462F89"/>
    <w:rsid w:val="00463EDE"/>
    <w:rsid w:val="00467F33"/>
    <w:rsid w:val="00471859"/>
    <w:rsid w:val="00475F95"/>
    <w:rsid w:val="00476172"/>
    <w:rsid w:val="00477487"/>
    <w:rsid w:val="0048098C"/>
    <w:rsid w:val="00480BAE"/>
    <w:rsid w:val="00481ADA"/>
    <w:rsid w:val="00482266"/>
    <w:rsid w:val="00483436"/>
    <w:rsid w:val="00484615"/>
    <w:rsid w:val="004869B2"/>
    <w:rsid w:val="00492418"/>
    <w:rsid w:val="00492DD6"/>
    <w:rsid w:val="004938FB"/>
    <w:rsid w:val="00495448"/>
    <w:rsid w:val="004971EB"/>
    <w:rsid w:val="004975CF"/>
    <w:rsid w:val="004A070F"/>
    <w:rsid w:val="004A3D67"/>
    <w:rsid w:val="004A3EEB"/>
    <w:rsid w:val="004A44AE"/>
    <w:rsid w:val="004A485C"/>
    <w:rsid w:val="004A6E3D"/>
    <w:rsid w:val="004A7C02"/>
    <w:rsid w:val="004B1516"/>
    <w:rsid w:val="004B637A"/>
    <w:rsid w:val="004B664F"/>
    <w:rsid w:val="004C1664"/>
    <w:rsid w:val="004C16C9"/>
    <w:rsid w:val="004C1961"/>
    <w:rsid w:val="004C1A82"/>
    <w:rsid w:val="004C1AB7"/>
    <w:rsid w:val="004C1B70"/>
    <w:rsid w:val="004C3D4B"/>
    <w:rsid w:val="004C5DBC"/>
    <w:rsid w:val="004C6EE2"/>
    <w:rsid w:val="004C71C5"/>
    <w:rsid w:val="004D0408"/>
    <w:rsid w:val="004D3D30"/>
    <w:rsid w:val="004D464D"/>
    <w:rsid w:val="004D50E0"/>
    <w:rsid w:val="004D6828"/>
    <w:rsid w:val="004D7833"/>
    <w:rsid w:val="004E16F5"/>
    <w:rsid w:val="004E70CE"/>
    <w:rsid w:val="004F1511"/>
    <w:rsid w:val="004F41A3"/>
    <w:rsid w:val="004F7B5B"/>
    <w:rsid w:val="00505235"/>
    <w:rsid w:val="005052F4"/>
    <w:rsid w:val="005055B1"/>
    <w:rsid w:val="0050609E"/>
    <w:rsid w:val="0050618C"/>
    <w:rsid w:val="00514D19"/>
    <w:rsid w:val="00516FD5"/>
    <w:rsid w:val="005173DA"/>
    <w:rsid w:val="00520C33"/>
    <w:rsid w:val="00523C06"/>
    <w:rsid w:val="00524E78"/>
    <w:rsid w:val="00525CC6"/>
    <w:rsid w:val="00527BF5"/>
    <w:rsid w:val="00532B9C"/>
    <w:rsid w:val="005332DD"/>
    <w:rsid w:val="00533883"/>
    <w:rsid w:val="00534135"/>
    <w:rsid w:val="005400CD"/>
    <w:rsid w:val="00541DC6"/>
    <w:rsid w:val="005456DA"/>
    <w:rsid w:val="00546A9B"/>
    <w:rsid w:val="005477D0"/>
    <w:rsid w:val="00547A73"/>
    <w:rsid w:val="00550577"/>
    <w:rsid w:val="00550622"/>
    <w:rsid w:val="00550E34"/>
    <w:rsid w:val="005518BE"/>
    <w:rsid w:val="005519F1"/>
    <w:rsid w:val="00554334"/>
    <w:rsid w:val="00554D7C"/>
    <w:rsid w:val="005569C6"/>
    <w:rsid w:val="00556FA7"/>
    <w:rsid w:val="005574FA"/>
    <w:rsid w:val="005579F5"/>
    <w:rsid w:val="0056451B"/>
    <w:rsid w:val="00565398"/>
    <w:rsid w:val="005665B7"/>
    <w:rsid w:val="00566754"/>
    <w:rsid w:val="0056676E"/>
    <w:rsid w:val="00566825"/>
    <w:rsid w:val="00566C4A"/>
    <w:rsid w:val="0056718A"/>
    <w:rsid w:val="00567455"/>
    <w:rsid w:val="00570518"/>
    <w:rsid w:val="00571422"/>
    <w:rsid w:val="00580739"/>
    <w:rsid w:val="005818B8"/>
    <w:rsid w:val="00587918"/>
    <w:rsid w:val="005879FB"/>
    <w:rsid w:val="005904F3"/>
    <w:rsid w:val="00591118"/>
    <w:rsid w:val="00592174"/>
    <w:rsid w:val="005967E7"/>
    <w:rsid w:val="0059706B"/>
    <w:rsid w:val="0059738E"/>
    <w:rsid w:val="005A1A79"/>
    <w:rsid w:val="005A42BD"/>
    <w:rsid w:val="005A6846"/>
    <w:rsid w:val="005A791C"/>
    <w:rsid w:val="005B372B"/>
    <w:rsid w:val="005C001C"/>
    <w:rsid w:val="005C1C6F"/>
    <w:rsid w:val="005C2A6C"/>
    <w:rsid w:val="005C5730"/>
    <w:rsid w:val="005C6986"/>
    <w:rsid w:val="005D196D"/>
    <w:rsid w:val="005D19D4"/>
    <w:rsid w:val="005D2650"/>
    <w:rsid w:val="005D35BB"/>
    <w:rsid w:val="005D5E89"/>
    <w:rsid w:val="005E1274"/>
    <w:rsid w:val="005E13E0"/>
    <w:rsid w:val="005E36A0"/>
    <w:rsid w:val="005E4EC3"/>
    <w:rsid w:val="005E64B5"/>
    <w:rsid w:val="005E7457"/>
    <w:rsid w:val="005E74D7"/>
    <w:rsid w:val="005E790B"/>
    <w:rsid w:val="005F092A"/>
    <w:rsid w:val="005F1258"/>
    <w:rsid w:val="005F3117"/>
    <w:rsid w:val="005F69DB"/>
    <w:rsid w:val="0060191C"/>
    <w:rsid w:val="00603D46"/>
    <w:rsid w:val="0060502A"/>
    <w:rsid w:val="006054D8"/>
    <w:rsid w:val="00607C65"/>
    <w:rsid w:val="00610143"/>
    <w:rsid w:val="006101B1"/>
    <w:rsid w:val="00610C2F"/>
    <w:rsid w:val="006118C4"/>
    <w:rsid w:val="00612526"/>
    <w:rsid w:val="00612FD7"/>
    <w:rsid w:val="00614AE8"/>
    <w:rsid w:val="0061522B"/>
    <w:rsid w:val="0061539D"/>
    <w:rsid w:val="0061583B"/>
    <w:rsid w:val="00615B18"/>
    <w:rsid w:val="00621703"/>
    <w:rsid w:val="00621836"/>
    <w:rsid w:val="00621F58"/>
    <w:rsid w:val="00622325"/>
    <w:rsid w:val="00622348"/>
    <w:rsid w:val="00625F2E"/>
    <w:rsid w:val="00626100"/>
    <w:rsid w:val="00626476"/>
    <w:rsid w:val="00627115"/>
    <w:rsid w:val="006310D8"/>
    <w:rsid w:val="00632FFF"/>
    <w:rsid w:val="006349FA"/>
    <w:rsid w:val="006378A2"/>
    <w:rsid w:val="00637E6E"/>
    <w:rsid w:val="006402BD"/>
    <w:rsid w:val="006408F0"/>
    <w:rsid w:val="006410D6"/>
    <w:rsid w:val="006411A5"/>
    <w:rsid w:val="00641221"/>
    <w:rsid w:val="00642B45"/>
    <w:rsid w:val="0064371D"/>
    <w:rsid w:val="00645862"/>
    <w:rsid w:val="006458D8"/>
    <w:rsid w:val="0065221D"/>
    <w:rsid w:val="00652887"/>
    <w:rsid w:val="00653B88"/>
    <w:rsid w:val="00654659"/>
    <w:rsid w:val="00655087"/>
    <w:rsid w:val="00655F4C"/>
    <w:rsid w:val="0065777B"/>
    <w:rsid w:val="00661780"/>
    <w:rsid w:val="00663D7F"/>
    <w:rsid w:val="00663FED"/>
    <w:rsid w:val="00667F99"/>
    <w:rsid w:val="006719DE"/>
    <w:rsid w:val="00673C97"/>
    <w:rsid w:val="00674566"/>
    <w:rsid w:val="006746B1"/>
    <w:rsid w:val="00674CAF"/>
    <w:rsid w:val="006808E8"/>
    <w:rsid w:val="00682FE2"/>
    <w:rsid w:val="00684284"/>
    <w:rsid w:val="00684579"/>
    <w:rsid w:val="00686750"/>
    <w:rsid w:val="00686CBD"/>
    <w:rsid w:val="00686CC5"/>
    <w:rsid w:val="0068700B"/>
    <w:rsid w:val="0069559D"/>
    <w:rsid w:val="00695D67"/>
    <w:rsid w:val="00696F8C"/>
    <w:rsid w:val="0069700C"/>
    <w:rsid w:val="00697037"/>
    <w:rsid w:val="00697801"/>
    <w:rsid w:val="006A074F"/>
    <w:rsid w:val="006A54E3"/>
    <w:rsid w:val="006A55D7"/>
    <w:rsid w:val="006A7AD1"/>
    <w:rsid w:val="006B20CA"/>
    <w:rsid w:val="006B440B"/>
    <w:rsid w:val="006B5189"/>
    <w:rsid w:val="006C09DE"/>
    <w:rsid w:val="006C1055"/>
    <w:rsid w:val="006C3E9D"/>
    <w:rsid w:val="006C44B9"/>
    <w:rsid w:val="006C4FA4"/>
    <w:rsid w:val="006C51D6"/>
    <w:rsid w:val="006C6552"/>
    <w:rsid w:val="006C67DC"/>
    <w:rsid w:val="006C7D91"/>
    <w:rsid w:val="006C7FED"/>
    <w:rsid w:val="006D0C85"/>
    <w:rsid w:val="006D2ED9"/>
    <w:rsid w:val="006D4052"/>
    <w:rsid w:val="006D425B"/>
    <w:rsid w:val="006D6F56"/>
    <w:rsid w:val="006D7D80"/>
    <w:rsid w:val="006E17AC"/>
    <w:rsid w:val="006E24C6"/>
    <w:rsid w:val="006E32F6"/>
    <w:rsid w:val="006E60D8"/>
    <w:rsid w:val="006E60E5"/>
    <w:rsid w:val="006F0B83"/>
    <w:rsid w:val="00701836"/>
    <w:rsid w:val="00701987"/>
    <w:rsid w:val="00701F70"/>
    <w:rsid w:val="00702650"/>
    <w:rsid w:val="007062E3"/>
    <w:rsid w:val="00706936"/>
    <w:rsid w:val="0070769C"/>
    <w:rsid w:val="00710E06"/>
    <w:rsid w:val="00715914"/>
    <w:rsid w:val="00716CC2"/>
    <w:rsid w:val="0071759D"/>
    <w:rsid w:val="0072079B"/>
    <w:rsid w:val="00722184"/>
    <w:rsid w:val="007229D7"/>
    <w:rsid w:val="0072401B"/>
    <w:rsid w:val="00724474"/>
    <w:rsid w:val="007269A0"/>
    <w:rsid w:val="00730268"/>
    <w:rsid w:val="00730EDD"/>
    <w:rsid w:val="00734C7C"/>
    <w:rsid w:val="0073535F"/>
    <w:rsid w:val="00736FD6"/>
    <w:rsid w:val="0073714D"/>
    <w:rsid w:val="00737F17"/>
    <w:rsid w:val="0074264B"/>
    <w:rsid w:val="0074415C"/>
    <w:rsid w:val="00746790"/>
    <w:rsid w:val="0074696F"/>
    <w:rsid w:val="00746DFC"/>
    <w:rsid w:val="00747BD5"/>
    <w:rsid w:val="007512D0"/>
    <w:rsid w:val="0075223F"/>
    <w:rsid w:val="00752DCE"/>
    <w:rsid w:val="00753727"/>
    <w:rsid w:val="00755404"/>
    <w:rsid w:val="00755676"/>
    <w:rsid w:val="00760E65"/>
    <w:rsid w:val="00763B07"/>
    <w:rsid w:val="00763D41"/>
    <w:rsid w:val="00766CD4"/>
    <w:rsid w:val="0077122E"/>
    <w:rsid w:val="0077147D"/>
    <w:rsid w:val="007814A1"/>
    <w:rsid w:val="00786C6C"/>
    <w:rsid w:val="00790072"/>
    <w:rsid w:val="00791FB2"/>
    <w:rsid w:val="00792569"/>
    <w:rsid w:val="007936E5"/>
    <w:rsid w:val="00793A96"/>
    <w:rsid w:val="007A1E44"/>
    <w:rsid w:val="007A29C5"/>
    <w:rsid w:val="007B0185"/>
    <w:rsid w:val="007B0A56"/>
    <w:rsid w:val="007B4B9B"/>
    <w:rsid w:val="007B7493"/>
    <w:rsid w:val="007C019C"/>
    <w:rsid w:val="007C425D"/>
    <w:rsid w:val="007C431E"/>
    <w:rsid w:val="007C7E77"/>
    <w:rsid w:val="007D3CF3"/>
    <w:rsid w:val="007D40E6"/>
    <w:rsid w:val="007D6401"/>
    <w:rsid w:val="007D76D3"/>
    <w:rsid w:val="007D7ECD"/>
    <w:rsid w:val="007E1C66"/>
    <w:rsid w:val="007E250D"/>
    <w:rsid w:val="007E25C6"/>
    <w:rsid w:val="007E3C59"/>
    <w:rsid w:val="007E3F1E"/>
    <w:rsid w:val="007E52C3"/>
    <w:rsid w:val="007E596F"/>
    <w:rsid w:val="007E70AC"/>
    <w:rsid w:val="007E735C"/>
    <w:rsid w:val="007E7A85"/>
    <w:rsid w:val="007F0197"/>
    <w:rsid w:val="007F0281"/>
    <w:rsid w:val="007F1923"/>
    <w:rsid w:val="007F1FB0"/>
    <w:rsid w:val="007F263B"/>
    <w:rsid w:val="007F2DC8"/>
    <w:rsid w:val="007F5437"/>
    <w:rsid w:val="007F5BE2"/>
    <w:rsid w:val="007F7723"/>
    <w:rsid w:val="007F79A7"/>
    <w:rsid w:val="0080057F"/>
    <w:rsid w:val="008005B3"/>
    <w:rsid w:val="0080262B"/>
    <w:rsid w:val="0080381D"/>
    <w:rsid w:val="00803BBF"/>
    <w:rsid w:val="008045A7"/>
    <w:rsid w:val="00804F2A"/>
    <w:rsid w:val="00806F80"/>
    <w:rsid w:val="008111C0"/>
    <w:rsid w:val="00811217"/>
    <w:rsid w:val="00813D82"/>
    <w:rsid w:val="00814E34"/>
    <w:rsid w:val="008156EB"/>
    <w:rsid w:val="008158EE"/>
    <w:rsid w:val="0081603E"/>
    <w:rsid w:val="00816EB3"/>
    <w:rsid w:val="008244D7"/>
    <w:rsid w:val="008252B3"/>
    <w:rsid w:val="00826339"/>
    <w:rsid w:val="00826661"/>
    <w:rsid w:val="008277BB"/>
    <w:rsid w:val="00831D40"/>
    <w:rsid w:val="00832530"/>
    <w:rsid w:val="0083491C"/>
    <w:rsid w:val="00834DFD"/>
    <w:rsid w:val="00837B94"/>
    <w:rsid w:val="00837BC3"/>
    <w:rsid w:val="00840C66"/>
    <w:rsid w:val="008417F4"/>
    <w:rsid w:val="008418F1"/>
    <w:rsid w:val="008434A1"/>
    <w:rsid w:val="00844A58"/>
    <w:rsid w:val="008471DD"/>
    <w:rsid w:val="0084766E"/>
    <w:rsid w:val="00851EA5"/>
    <w:rsid w:val="00852591"/>
    <w:rsid w:val="00856761"/>
    <w:rsid w:val="00857347"/>
    <w:rsid w:val="008573D5"/>
    <w:rsid w:val="008625BD"/>
    <w:rsid w:val="008640E5"/>
    <w:rsid w:val="00865499"/>
    <w:rsid w:val="008670AA"/>
    <w:rsid w:val="0086721C"/>
    <w:rsid w:val="00870E00"/>
    <w:rsid w:val="00871C11"/>
    <w:rsid w:val="008777D3"/>
    <w:rsid w:val="008810B3"/>
    <w:rsid w:val="00883B03"/>
    <w:rsid w:val="0088505F"/>
    <w:rsid w:val="0088519A"/>
    <w:rsid w:val="00890C8F"/>
    <w:rsid w:val="00891F22"/>
    <w:rsid w:val="00894D12"/>
    <w:rsid w:val="00894E26"/>
    <w:rsid w:val="00895D2A"/>
    <w:rsid w:val="00896C4C"/>
    <w:rsid w:val="008A1923"/>
    <w:rsid w:val="008A20CD"/>
    <w:rsid w:val="008A26D8"/>
    <w:rsid w:val="008A37CD"/>
    <w:rsid w:val="008A5B8F"/>
    <w:rsid w:val="008A5EC4"/>
    <w:rsid w:val="008A6BDF"/>
    <w:rsid w:val="008A716B"/>
    <w:rsid w:val="008B5B4F"/>
    <w:rsid w:val="008B7538"/>
    <w:rsid w:val="008C0E13"/>
    <w:rsid w:val="008C2CAB"/>
    <w:rsid w:val="008C3CC7"/>
    <w:rsid w:val="008C5A60"/>
    <w:rsid w:val="008D2721"/>
    <w:rsid w:val="008D4222"/>
    <w:rsid w:val="008D448D"/>
    <w:rsid w:val="008D48DD"/>
    <w:rsid w:val="008D5B12"/>
    <w:rsid w:val="008D5E3B"/>
    <w:rsid w:val="008E114F"/>
    <w:rsid w:val="008E7A56"/>
    <w:rsid w:val="008E7C63"/>
    <w:rsid w:val="008F1A68"/>
    <w:rsid w:val="008F2DEE"/>
    <w:rsid w:val="008F33FE"/>
    <w:rsid w:val="008F3A92"/>
    <w:rsid w:val="008F71EA"/>
    <w:rsid w:val="00900F5C"/>
    <w:rsid w:val="0090278A"/>
    <w:rsid w:val="009029A5"/>
    <w:rsid w:val="00910A12"/>
    <w:rsid w:val="009136F9"/>
    <w:rsid w:val="00916274"/>
    <w:rsid w:val="00917AB1"/>
    <w:rsid w:val="0092016B"/>
    <w:rsid w:val="0092078E"/>
    <w:rsid w:val="00921161"/>
    <w:rsid w:val="00922F79"/>
    <w:rsid w:val="00923D04"/>
    <w:rsid w:val="00924154"/>
    <w:rsid w:val="00924749"/>
    <w:rsid w:val="0092599A"/>
    <w:rsid w:val="00926435"/>
    <w:rsid w:val="00930D40"/>
    <w:rsid w:val="009320BE"/>
    <w:rsid w:val="0093245D"/>
    <w:rsid w:val="00932DF7"/>
    <w:rsid w:val="00934A1D"/>
    <w:rsid w:val="00935FFF"/>
    <w:rsid w:val="00936873"/>
    <w:rsid w:val="00937630"/>
    <w:rsid w:val="00941A38"/>
    <w:rsid w:val="00943DB0"/>
    <w:rsid w:val="009445C2"/>
    <w:rsid w:val="00945ABF"/>
    <w:rsid w:val="009479BC"/>
    <w:rsid w:val="009502B2"/>
    <w:rsid w:val="00953BF5"/>
    <w:rsid w:val="0095432D"/>
    <w:rsid w:val="00954F6E"/>
    <w:rsid w:val="009564D7"/>
    <w:rsid w:val="0095730D"/>
    <w:rsid w:val="009573AE"/>
    <w:rsid w:val="00957A7B"/>
    <w:rsid w:val="00957C7E"/>
    <w:rsid w:val="009636E0"/>
    <w:rsid w:val="00965D9A"/>
    <w:rsid w:val="00971857"/>
    <w:rsid w:val="0097717F"/>
    <w:rsid w:val="009801B6"/>
    <w:rsid w:val="0098119E"/>
    <w:rsid w:val="009836DF"/>
    <w:rsid w:val="009867EF"/>
    <w:rsid w:val="00986BB9"/>
    <w:rsid w:val="0098796E"/>
    <w:rsid w:val="0099115A"/>
    <w:rsid w:val="00992FA0"/>
    <w:rsid w:val="0099449B"/>
    <w:rsid w:val="009947DB"/>
    <w:rsid w:val="00994E48"/>
    <w:rsid w:val="009955E8"/>
    <w:rsid w:val="0099601C"/>
    <w:rsid w:val="00997702"/>
    <w:rsid w:val="009A21C5"/>
    <w:rsid w:val="009A2D1C"/>
    <w:rsid w:val="009A428D"/>
    <w:rsid w:val="009A453D"/>
    <w:rsid w:val="009A656B"/>
    <w:rsid w:val="009A73A9"/>
    <w:rsid w:val="009A7DE1"/>
    <w:rsid w:val="009B1383"/>
    <w:rsid w:val="009B75D1"/>
    <w:rsid w:val="009C1EA0"/>
    <w:rsid w:val="009C3A17"/>
    <w:rsid w:val="009C47DE"/>
    <w:rsid w:val="009C4D38"/>
    <w:rsid w:val="009C501E"/>
    <w:rsid w:val="009C50FC"/>
    <w:rsid w:val="009D0479"/>
    <w:rsid w:val="009D0924"/>
    <w:rsid w:val="009D34D2"/>
    <w:rsid w:val="009D55DE"/>
    <w:rsid w:val="009D56B4"/>
    <w:rsid w:val="009E2755"/>
    <w:rsid w:val="009E43C3"/>
    <w:rsid w:val="009E50FD"/>
    <w:rsid w:val="009E5D13"/>
    <w:rsid w:val="009E5FB2"/>
    <w:rsid w:val="009E61C0"/>
    <w:rsid w:val="009E7648"/>
    <w:rsid w:val="009F017C"/>
    <w:rsid w:val="009F1081"/>
    <w:rsid w:val="009F245B"/>
    <w:rsid w:val="009F3C30"/>
    <w:rsid w:val="009F6F14"/>
    <w:rsid w:val="009F70DB"/>
    <w:rsid w:val="009F75B1"/>
    <w:rsid w:val="00A00529"/>
    <w:rsid w:val="00A01504"/>
    <w:rsid w:val="00A01773"/>
    <w:rsid w:val="00A06558"/>
    <w:rsid w:val="00A06614"/>
    <w:rsid w:val="00A0689F"/>
    <w:rsid w:val="00A077D6"/>
    <w:rsid w:val="00A10B4B"/>
    <w:rsid w:val="00A12039"/>
    <w:rsid w:val="00A14C60"/>
    <w:rsid w:val="00A15B50"/>
    <w:rsid w:val="00A16B99"/>
    <w:rsid w:val="00A202CE"/>
    <w:rsid w:val="00A2661C"/>
    <w:rsid w:val="00A30E40"/>
    <w:rsid w:val="00A31AFC"/>
    <w:rsid w:val="00A32E38"/>
    <w:rsid w:val="00A34A3A"/>
    <w:rsid w:val="00A34AC3"/>
    <w:rsid w:val="00A37CE5"/>
    <w:rsid w:val="00A404B1"/>
    <w:rsid w:val="00A434D9"/>
    <w:rsid w:val="00A44129"/>
    <w:rsid w:val="00A44FB7"/>
    <w:rsid w:val="00A46EC6"/>
    <w:rsid w:val="00A46FB9"/>
    <w:rsid w:val="00A47071"/>
    <w:rsid w:val="00A51E43"/>
    <w:rsid w:val="00A53B7B"/>
    <w:rsid w:val="00A55A64"/>
    <w:rsid w:val="00A61DE2"/>
    <w:rsid w:val="00A61F69"/>
    <w:rsid w:val="00A67762"/>
    <w:rsid w:val="00A7295D"/>
    <w:rsid w:val="00A753C9"/>
    <w:rsid w:val="00A75FF2"/>
    <w:rsid w:val="00A808AC"/>
    <w:rsid w:val="00A82ADF"/>
    <w:rsid w:val="00A84F67"/>
    <w:rsid w:val="00A8598D"/>
    <w:rsid w:val="00A861F6"/>
    <w:rsid w:val="00A902DE"/>
    <w:rsid w:val="00A9156B"/>
    <w:rsid w:val="00A91FB2"/>
    <w:rsid w:val="00A95E52"/>
    <w:rsid w:val="00A96386"/>
    <w:rsid w:val="00A96AAA"/>
    <w:rsid w:val="00A96DC0"/>
    <w:rsid w:val="00A973BA"/>
    <w:rsid w:val="00AA2CBC"/>
    <w:rsid w:val="00AA4CDC"/>
    <w:rsid w:val="00AA534C"/>
    <w:rsid w:val="00AA6D33"/>
    <w:rsid w:val="00AA6D42"/>
    <w:rsid w:val="00AA7D47"/>
    <w:rsid w:val="00AB118B"/>
    <w:rsid w:val="00AB3B2F"/>
    <w:rsid w:val="00AB4374"/>
    <w:rsid w:val="00AB7823"/>
    <w:rsid w:val="00AC0F37"/>
    <w:rsid w:val="00AC1CB6"/>
    <w:rsid w:val="00AC2E74"/>
    <w:rsid w:val="00AC37B2"/>
    <w:rsid w:val="00AC4C9A"/>
    <w:rsid w:val="00AD1980"/>
    <w:rsid w:val="00AD323F"/>
    <w:rsid w:val="00AD414A"/>
    <w:rsid w:val="00AD419B"/>
    <w:rsid w:val="00AD452E"/>
    <w:rsid w:val="00AD595E"/>
    <w:rsid w:val="00AD5DDA"/>
    <w:rsid w:val="00AE1FC9"/>
    <w:rsid w:val="00AE26B0"/>
    <w:rsid w:val="00AE481D"/>
    <w:rsid w:val="00AE737B"/>
    <w:rsid w:val="00AF319E"/>
    <w:rsid w:val="00AF3647"/>
    <w:rsid w:val="00AF69A6"/>
    <w:rsid w:val="00AF6B00"/>
    <w:rsid w:val="00AF6F96"/>
    <w:rsid w:val="00AF75FB"/>
    <w:rsid w:val="00AF7D31"/>
    <w:rsid w:val="00B00435"/>
    <w:rsid w:val="00B00829"/>
    <w:rsid w:val="00B0158D"/>
    <w:rsid w:val="00B04A30"/>
    <w:rsid w:val="00B062AD"/>
    <w:rsid w:val="00B06C8B"/>
    <w:rsid w:val="00B075B0"/>
    <w:rsid w:val="00B110B4"/>
    <w:rsid w:val="00B2055D"/>
    <w:rsid w:val="00B21A85"/>
    <w:rsid w:val="00B21C2D"/>
    <w:rsid w:val="00B225D6"/>
    <w:rsid w:val="00B239F8"/>
    <w:rsid w:val="00B23DA4"/>
    <w:rsid w:val="00B243FE"/>
    <w:rsid w:val="00B24904"/>
    <w:rsid w:val="00B24CBA"/>
    <w:rsid w:val="00B2666F"/>
    <w:rsid w:val="00B26F93"/>
    <w:rsid w:val="00B27BFC"/>
    <w:rsid w:val="00B306A5"/>
    <w:rsid w:val="00B3096E"/>
    <w:rsid w:val="00B3205D"/>
    <w:rsid w:val="00B32A73"/>
    <w:rsid w:val="00B36FA1"/>
    <w:rsid w:val="00B37511"/>
    <w:rsid w:val="00B451AE"/>
    <w:rsid w:val="00B52973"/>
    <w:rsid w:val="00B52EB1"/>
    <w:rsid w:val="00B5455D"/>
    <w:rsid w:val="00B56B51"/>
    <w:rsid w:val="00B6121E"/>
    <w:rsid w:val="00B61A5C"/>
    <w:rsid w:val="00B62B2E"/>
    <w:rsid w:val="00B637D3"/>
    <w:rsid w:val="00B65510"/>
    <w:rsid w:val="00B65A10"/>
    <w:rsid w:val="00B66F4D"/>
    <w:rsid w:val="00B74786"/>
    <w:rsid w:val="00B757FD"/>
    <w:rsid w:val="00B770CF"/>
    <w:rsid w:val="00B80F65"/>
    <w:rsid w:val="00B81556"/>
    <w:rsid w:val="00B82878"/>
    <w:rsid w:val="00B832AE"/>
    <w:rsid w:val="00B83B50"/>
    <w:rsid w:val="00B85C83"/>
    <w:rsid w:val="00B8797E"/>
    <w:rsid w:val="00B90965"/>
    <w:rsid w:val="00B92E82"/>
    <w:rsid w:val="00B93F30"/>
    <w:rsid w:val="00B94B25"/>
    <w:rsid w:val="00B958A6"/>
    <w:rsid w:val="00B96FBF"/>
    <w:rsid w:val="00BA1537"/>
    <w:rsid w:val="00BA2636"/>
    <w:rsid w:val="00BA6755"/>
    <w:rsid w:val="00BB349D"/>
    <w:rsid w:val="00BB5110"/>
    <w:rsid w:val="00BB514E"/>
    <w:rsid w:val="00BC0793"/>
    <w:rsid w:val="00BC092A"/>
    <w:rsid w:val="00BC2E11"/>
    <w:rsid w:val="00BC33F8"/>
    <w:rsid w:val="00BC61FC"/>
    <w:rsid w:val="00BD30B2"/>
    <w:rsid w:val="00BD3F58"/>
    <w:rsid w:val="00BD583E"/>
    <w:rsid w:val="00BE0ADB"/>
    <w:rsid w:val="00BE0EB9"/>
    <w:rsid w:val="00BE10C7"/>
    <w:rsid w:val="00BE6469"/>
    <w:rsid w:val="00BE7A85"/>
    <w:rsid w:val="00BE7D4C"/>
    <w:rsid w:val="00BF1568"/>
    <w:rsid w:val="00BF321E"/>
    <w:rsid w:val="00BF4E44"/>
    <w:rsid w:val="00BF602D"/>
    <w:rsid w:val="00BF7B4F"/>
    <w:rsid w:val="00C00218"/>
    <w:rsid w:val="00C01305"/>
    <w:rsid w:val="00C01849"/>
    <w:rsid w:val="00C02AA4"/>
    <w:rsid w:val="00C0532A"/>
    <w:rsid w:val="00C05F9F"/>
    <w:rsid w:val="00C06CF0"/>
    <w:rsid w:val="00C07AB8"/>
    <w:rsid w:val="00C07D01"/>
    <w:rsid w:val="00C11FEA"/>
    <w:rsid w:val="00C124C6"/>
    <w:rsid w:val="00C1340D"/>
    <w:rsid w:val="00C14AF9"/>
    <w:rsid w:val="00C152AD"/>
    <w:rsid w:val="00C17354"/>
    <w:rsid w:val="00C221B1"/>
    <w:rsid w:val="00C232C0"/>
    <w:rsid w:val="00C236E0"/>
    <w:rsid w:val="00C23CA1"/>
    <w:rsid w:val="00C23F3D"/>
    <w:rsid w:val="00C258E4"/>
    <w:rsid w:val="00C25FEE"/>
    <w:rsid w:val="00C31793"/>
    <w:rsid w:val="00C32AC9"/>
    <w:rsid w:val="00C373FE"/>
    <w:rsid w:val="00C4329A"/>
    <w:rsid w:val="00C45687"/>
    <w:rsid w:val="00C45730"/>
    <w:rsid w:val="00C45A45"/>
    <w:rsid w:val="00C47CCD"/>
    <w:rsid w:val="00C50174"/>
    <w:rsid w:val="00C504B1"/>
    <w:rsid w:val="00C5213B"/>
    <w:rsid w:val="00C52AF1"/>
    <w:rsid w:val="00C53638"/>
    <w:rsid w:val="00C5376E"/>
    <w:rsid w:val="00C541C4"/>
    <w:rsid w:val="00C54255"/>
    <w:rsid w:val="00C55BA4"/>
    <w:rsid w:val="00C57E9A"/>
    <w:rsid w:val="00C62E0E"/>
    <w:rsid w:val="00C64ACC"/>
    <w:rsid w:val="00C6573A"/>
    <w:rsid w:val="00C66CC4"/>
    <w:rsid w:val="00C70D7F"/>
    <w:rsid w:val="00C715CB"/>
    <w:rsid w:val="00C7209A"/>
    <w:rsid w:val="00C721BC"/>
    <w:rsid w:val="00C77BDE"/>
    <w:rsid w:val="00C77C78"/>
    <w:rsid w:val="00C804DA"/>
    <w:rsid w:val="00C80FCB"/>
    <w:rsid w:val="00C814C8"/>
    <w:rsid w:val="00C8152F"/>
    <w:rsid w:val="00C819D0"/>
    <w:rsid w:val="00C81B6C"/>
    <w:rsid w:val="00C8206B"/>
    <w:rsid w:val="00C86511"/>
    <w:rsid w:val="00C874D2"/>
    <w:rsid w:val="00C9168E"/>
    <w:rsid w:val="00C930E0"/>
    <w:rsid w:val="00C937F4"/>
    <w:rsid w:val="00C93855"/>
    <w:rsid w:val="00C94ADE"/>
    <w:rsid w:val="00C96464"/>
    <w:rsid w:val="00CA464D"/>
    <w:rsid w:val="00CA538C"/>
    <w:rsid w:val="00CA54B4"/>
    <w:rsid w:val="00CA70EC"/>
    <w:rsid w:val="00CB275A"/>
    <w:rsid w:val="00CB2FA0"/>
    <w:rsid w:val="00CB5825"/>
    <w:rsid w:val="00CB5C91"/>
    <w:rsid w:val="00CB6330"/>
    <w:rsid w:val="00CC0829"/>
    <w:rsid w:val="00CC1B4D"/>
    <w:rsid w:val="00CC2405"/>
    <w:rsid w:val="00CC28F1"/>
    <w:rsid w:val="00CC7174"/>
    <w:rsid w:val="00CC7B2B"/>
    <w:rsid w:val="00CD024A"/>
    <w:rsid w:val="00CD0F34"/>
    <w:rsid w:val="00CD145E"/>
    <w:rsid w:val="00CD28D1"/>
    <w:rsid w:val="00CD2D10"/>
    <w:rsid w:val="00CD43A6"/>
    <w:rsid w:val="00CD4785"/>
    <w:rsid w:val="00CE091A"/>
    <w:rsid w:val="00CE0E7A"/>
    <w:rsid w:val="00CE10A1"/>
    <w:rsid w:val="00CE19F7"/>
    <w:rsid w:val="00CE1AE4"/>
    <w:rsid w:val="00CE2A1C"/>
    <w:rsid w:val="00CE4940"/>
    <w:rsid w:val="00CF01EB"/>
    <w:rsid w:val="00CF06CF"/>
    <w:rsid w:val="00CF1A7E"/>
    <w:rsid w:val="00CF1BC0"/>
    <w:rsid w:val="00CF28B7"/>
    <w:rsid w:val="00CF39CC"/>
    <w:rsid w:val="00CF3B0F"/>
    <w:rsid w:val="00CF422F"/>
    <w:rsid w:val="00CF5340"/>
    <w:rsid w:val="00CF64E5"/>
    <w:rsid w:val="00CF7633"/>
    <w:rsid w:val="00CF7FB7"/>
    <w:rsid w:val="00D02E83"/>
    <w:rsid w:val="00D055F1"/>
    <w:rsid w:val="00D05F55"/>
    <w:rsid w:val="00D062B4"/>
    <w:rsid w:val="00D1289B"/>
    <w:rsid w:val="00D12A40"/>
    <w:rsid w:val="00D12CA8"/>
    <w:rsid w:val="00D13D95"/>
    <w:rsid w:val="00D1653A"/>
    <w:rsid w:val="00D17DF2"/>
    <w:rsid w:val="00D21550"/>
    <w:rsid w:val="00D222AD"/>
    <w:rsid w:val="00D22B5B"/>
    <w:rsid w:val="00D22C3A"/>
    <w:rsid w:val="00D22E1E"/>
    <w:rsid w:val="00D24178"/>
    <w:rsid w:val="00D24A1C"/>
    <w:rsid w:val="00D2504A"/>
    <w:rsid w:val="00D250E6"/>
    <w:rsid w:val="00D31166"/>
    <w:rsid w:val="00D32ECC"/>
    <w:rsid w:val="00D4012B"/>
    <w:rsid w:val="00D4065E"/>
    <w:rsid w:val="00D427F0"/>
    <w:rsid w:val="00D43C23"/>
    <w:rsid w:val="00D4756A"/>
    <w:rsid w:val="00D525A8"/>
    <w:rsid w:val="00D52ACF"/>
    <w:rsid w:val="00D53787"/>
    <w:rsid w:val="00D539AF"/>
    <w:rsid w:val="00D5468C"/>
    <w:rsid w:val="00D558C8"/>
    <w:rsid w:val="00D56CDD"/>
    <w:rsid w:val="00D56DA9"/>
    <w:rsid w:val="00D624EC"/>
    <w:rsid w:val="00D625D4"/>
    <w:rsid w:val="00D64012"/>
    <w:rsid w:val="00D64261"/>
    <w:rsid w:val="00D6520A"/>
    <w:rsid w:val="00D66692"/>
    <w:rsid w:val="00D70AE3"/>
    <w:rsid w:val="00D713E4"/>
    <w:rsid w:val="00D73B65"/>
    <w:rsid w:val="00D73B8E"/>
    <w:rsid w:val="00D73D41"/>
    <w:rsid w:val="00D751EB"/>
    <w:rsid w:val="00D75A89"/>
    <w:rsid w:val="00D77608"/>
    <w:rsid w:val="00D807CB"/>
    <w:rsid w:val="00D82A79"/>
    <w:rsid w:val="00D84033"/>
    <w:rsid w:val="00D8426C"/>
    <w:rsid w:val="00D90392"/>
    <w:rsid w:val="00D914A3"/>
    <w:rsid w:val="00D92A92"/>
    <w:rsid w:val="00D946C1"/>
    <w:rsid w:val="00D9548A"/>
    <w:rsid w:val="00DA179D"/>
    <w:rsid w:val="00DA1E4B"/>
    <w:rsid w:val="00DA2D13"/>
    <w:rsid w:val="00DA4517"/>
    <w:rsid w:val="00DA514C"/>
    <w:rsid w:val="00DA52A7"/>
    <w:rsid w:val="00DA6CE0"/>
    <w:rsid w:val="00DA6E1F"/>
    <w:rsid w:val="00DA7759"/>
    <w:rsid w:val="00DA7F13"/>
    <w:rsid w:val="00DB0ED0"/>
    <w:rsid w:val="00DB1636"/>
    <w:rsid w:val="00DB21ED"/>
    <w:rsid w:val="00DB4349"/>
    <w:rsid w:val="00DB6C33"/>
    <w:rsid w:val="00DB75FF"/>
    <w:rsid w:val="00DC2AAE"/>
    <w:rsid w:val="00DC2CB7"/>
    <w:rsid w:val="00DC3888"/>
    <w:rsid w:val="00DC440B"/>
    <w:rsid w:val="00DC4A24"/>
    <w:rsid w:val="00DC7F92"/>
    <w:rsid w:val="00DD10A4"/>
    <w:rsid w:val="00DD268D"/>
    <w:rsid w:val="00DD33B8"/>
    <w:rsid w:val="00DD3E4C"/>
    <w:rsid w:val="00DD502C"/>
    <w:rsid w:val="00DD5FC4"/>
    <w:rsid w:val="00DD7120"/>
    <w:rsid w:val="00DD7C63"/>
    <w:rsid w:val="00DE0C52"/>
    <w:rsid w:val="00DE5A20"/>
    <w:rsid w:val="00DE691C"/>
    <w:rsid w:val="00DF0811"/>
    <w:rsid w:val="00DF0FE2"/>
    <w:rsid w:val="00DF51EC"/>
    <w:rsid w:val="00DF6E6A"/>
    <w:rsid w:val="00DF7BE7"/>
    <w:rsid w:val="00E00EE7"/>
    <w:rsid w:val="00E01097"/>
    <w:rsid w:val="00E014CB"/>
    <w:rsid w:val="00E1004D"/>
    <w:rsid w:val="00E104D3"/>
    <w:rsid w:val="00E125E4"/>
    <w:rsid w:val="00E12963"/>
    <w:rsid w:val="00E13FF8"/>
    <w:rsid w:val="00E1428A"/>
    <w:rsid w:val="00E145C4"/>
    <w:rsid w:val="00E14BB3"/>
    <w:rsid w:val="00E169AA"/>
    <w:rsid w:val="00E16D8E"/>
    <w:rsid w:val="00E20C0F"/>
    <w:rsid w:val="00E23632"/>
    <w:rsid w:val="00E2458B"/>
    <w:rsid w:val="00E2468A"/>
    <w:rsid w:val="00E315BB"/>
    <w:rsid w:val="00E31719"/>
    <w:rsid w:val="00E32DAA"/>
    <w:rsid w:val="00E33D63"/>
    <w:rsid w:val="00E36E4C"/>
    <w:rsid w:val="00E3769D"/>
    <w:rsid w:val="00E4022E"/>
    <w:rsid w:val="00E4488A"/>
    <w:rsid w:val="00E53888"/>
    <w:rsid w:val="00E54EAF"/>
    <w:rsid w:val="00E558E4"/>
    <w:rsid w:val="00E563E8"/>
    <w:rsid w:val="00E56549"/>
    <w:rsid w:val="00E56680"/>
    <w:rsid w:val="00E576D2"/>
    <w:rsid w:val="00E576D8"/>
    <w:rsid w:val="00E6022B"/>
    <w:rsid w:val="00E60504"/>
    <w:rsid w:val="00E62DEE"/>
    <w:rsid w:val="00E62F39"/>
    <w:rsid w:val="00E63751"/>
    <w:rsid w:val="00E647C0"/>
    <w:rsid w:val="00E648C4"/>
    <w:rsid w:val="00E71C76"/>
    <w:rsid w:val="00E723A2"/>
    <w:rsid w:val="00E73C28"/>
    <w:rsid w:val="00E74DF7"/>
    <w:rsid w:val="00E75A3D"/>
    <w:rsid w:val="00E75D57"/>
    <w:rsid w:val="00E762C6"/>
    <w:rsid w:val="00E7766F"/>
    <w:rsid w:val="00E77ABB"/>
    <w:rsid w:val="00E824DD"/>
    <w:rsid w:val="00E82EA8"/>
    <w:rsid w:val="00E83912"/>
    <w:rsid w:val="00E86AAD"/>
    <w:rsid w:val="00E903DB"/>
    <w:rsid w:val="00E90EAE"/>
    <w:rsid w:val="00E9196B"/>
    <w:rsid w:val="00E92812"/>
    <w:rsid w:val="00E943BD"/>
    <w:rsid w:val="00E954F5"/>
    <w:rsid w:val="00EA186E"/>
    <w:rsid w:val="00EA5F8F"/>
    <w:rsid w:val="00EA6423"/>
    <w:rsid w:val="00EB214B"/>
    <w:rsid w:val="00EB30B4"/>
    <w:rsid w:val="00EB6AC4"/>
    <w:rsid w:val="00EB7428"/>
    <w:rsid w:val="00EC0025"/>
    <w:rsid w:val="00EC1380"/>
    <w:rsid w:val="00EC1463"/>
    <w:rsid w:val="00EC3E6A"/>
    <w:rsid w:val="00EC456D"/>
    <w:rsid w:val="00EC5027"/>
    <w:rsid w:val="00EC5E32"/>
    <w:rsid w:val="00EC7ADC"/>
    <w:rsid w:val="00ED2D8B"/>
    <w:rsid w:val="00ED3981"/>
    <w:rsid w:val="00ED40B7"/>
    <w:rsid w:val="00ED42A7"/>
    <w:rsid w:val="00ED51FC"/>
    <w:rsid w:val="00ED5E55"/>
    <w:rsid w:val="00ED7F7F"/>
    <w:rsid w:val="00EE0626"/>
    <w:rsid w:val="00EE120F"/>
    <w:rsid w:val="00EF0C73"/>
    <w:rsid w:val="00EF36CB"/>
    <w:rsid w:val="00EF5129"/>
    <w:rsid w:val="00EF56B2"/>
    <w:rsid w:val="00EF5F2E"/>
    <w:rsid w:val="00EF6195"/>
    <w:rsid w:val="00F010A9"/>
    <w:rsid w:val="00F0347B"/>
    <w:rsid w:val="00F119E2"/>
    <w:rsid w:val="00F11AA2"/>
    <w:rsid w:val="00F13393"/>
    <w:rsid w:val="00F144F4"/>
    <w:rsid w:val="00F156AC"/>
    <w:rsid w:val="00F21CAD"/>
    <w:rsid w:val="00F228FA"/>
    <w:rsid w:val="00F22B53"/>
    <w:rsid w:val="00F23BCE"/>
    <w:rsid w:val="00F2598F"/>
    <w:rsid w:val="00F27A60"/>
    <w:rsid w:val="00F31901"/>
    <w:rsid w:val="00F31CA9"/>
    <w:rsid w:val="00F3278E"/>
    <w:rsid w:val="00F33C00"/>
    <w:rsid w:val="00F35D88"/>
    <w:rsid w:val="00F37431"/>
    <w:rsid w:val="00F40332"/>
    <w:rsid w:val="00F42D71"/>
    <w:rsid w:val="00F430ED"/>
    <w:rsid w:val="00F444FD"/>
    <w:rsid w:val="00F45AAC"/>
    <w:rsid w:val="00F46624"/>
    <w:rsid w:val="00F46D96"/>
    <w:rsid w:val="00F54C51"/>
    <w:rsid w:val="00F5715D"/>
    <w:rsid w:val="00F57252"/>
    <w:rsid w:val="00F57454"/>
    <w:rsid w:val="00F57A80"/>
    <w:rsid w:val="00F57D61"/>
    <w:rsid w:val="00F61B11"/>
    <w:rsid w:val="00F63D61"/>
    <w:rsid w:val="00F653FE"/>
    <w:rsid w:val="00F65579"/>
    <w:rsid w:val="00F721EB"/>
    <w:rsid w:val="00F723C9"/>
    <w:rsid w:val="00F72AD8"/>
    <w:rsid w:val="00F72B7B"/>
    <w:rsid w:val="00F73710"/>
    <w:rsid w:val="00F74EFD"/>
    <w:rsid w:val="00F75858"/>
    <w:rsid w:val="00F769D3"/>
    <w:rsid w:val="00F80519"/>
    <w:rsid w:val="00F83B5F"/>
    <w:rsid w:val="00F8504B"/>
    <w:rsid w:val="00F860B3"/>
    <w:rsid w:val="00F87A76"/>
    <w:rsid w:val="00F90137"/>
    <w:rsid w:val="00F90ADA"/>
    <w:rsid w:val="00F96829"/>
    <w:rsid w:val="00F97D82"/>
    <w:rsid w:val="00FA18CD"/>
    <w:rsid w:val="00FA1A57"/>
    <w:rsid w:val="00FA2089"/>
    <w:rsid w:val="00FA2380"/>
    <w:rsid w:val="00FA3B97"/>
    <w:rsid w:val="00FA3F21"/>
    <w:rsid w:val="00FA4839"/>
    <w:rsid w:val="00FA6901"/>
    <w:rsid w:val="00FA6BAD"/>
    <w:rsid w:val="00FB19CA"/>
    <w:rsid w:val="00FB2FF5"/>
    <w:rsid w:val="00FB3E9E"/>
    <w:rsid w:val="00FB52C1"/>
    <w:rsid w:val="00FB5756"/>
    <w:rsid w:val="00FB583C"/>
    <w:rsid w:val="00FB6CBF"/>
    <w:rsid w:val="00FB6FA7"/>
    <w:rsid w:val="00FC1608"/>
    <w:rsid w:val="00FC2BEC"/>
    <w:rsid w:val="00FC2C5F"/>
    <w:rsid w:val="00FC3FE6"/>
    <w:rsid w:val="00FC5786"/>
    <w:rsid w:val="00FC5DA4"/>
    <w:rsid w:val="00FC7178"/>
    <w:rsid w:val="00FC7BC3"/>
    <w:rsid w:val="00FD0A9E"/>
    <w:rsid w:val="00FD1368"/>
    <w:rsid w:val="00FD4174"/>
    <w:rsid w:val="00FD438B"/>
    <w:rsid w:val="00FE07B4"/>
    <w:rsid w:val="00FE1979"/>
    <w:rsid w:val="00FE1F09"/>
    <w:rsid w:val="00FE39FA"/>
    <w:rsid w:val="00FE43F1"/>
    <w:rsid w:val="00FE44E3"/>
    <w:rsid w:val="00FF038A"/>
    <w:rsid w:val="00FF1B9C"/>
    <w:rsid w:val="00FF1EB5"/>
    <w:rsid w:val="00FF7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F1DB6C2-39F6-4607-95BB-D7131F13F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5BB"/>
    <w:pPr>
      <w:spacing w:after="200" w:line="276" w:lineRule="auto"/>
    </w:pPr>
    <w:rPr>
      <w:rFonts w:asciiTheme="minorHAnsi" w:eastAsiaTheme="minorEastAsia" w:hAnsiTheme="minorHAnsi"/>
      <w:kern w:val="0"/>
      <w:sz w:val="22"/>
      <w:szCs w:val="22"/>
      <w:lang w:eastAsia="en-US"/>
    </w:rPr>
  </w:style>
  <w:style w:type="paragraph" w:styleId="Heading1">
    <w:name w:val="heading 1"/>
    <w:aliases w:val="x"/>
    <w:basedOn w:val="Normal"/>
    <w:next w:val="Normal"/>
    <w:link w:val="Heading1Char"/>
    <w:qFormat/>
    <w:rsid w:val="00F87A76"/>
    <w:pPr>
      <w:spacing w:before="240" w:after="0" w:line="340" w:lineRule="atLeast"/>
      <w:jc w:val="both"/>
      <w:outlineLvl w:val="0"/>
    </w:pPr>
    <w:rPr>
      <w:rFonts w:ascii="Arial" w:eastAsia="Times New Roman" w:hAnsi="Arial" w:cs="Times New Roman"/>
      <w:b/>
      <w:color w:val="000000"/>
      <w:sz w:val="24"/>
      <w:szCs w:val="20"/>
      <w:u w:val="single"/>
      <w:lang w:eastAsia="de-DE"/>
    </w:rPr>
  </w:style>
  <w:style w:type="paragraph" w:styleId="Heading2">
    <w:name w:val="heading 2"/>
    <w:basedOn w:val="Normal"/>
    <w:next w:val="Normal"/>
    <w:link w:val="Heading2Char"/>
    <w:qFormat/>
    <w:rsid w:val="00F87A76"/>
    <w:pPr>
      <w:spacing w:before="120" w:after="0" w:line="340" w:lineRule="atLeast"/>
      <w:jc w:val="both"/>
      <w:outlineLvl w:val="1"/>
    </w:pPr>
    <w:rPr>
      <w:rFonts w:ascii="Arial" w:eastAsia="Times New Roman" w:hAnsi="Arial" w:cstheme="majorBidi"/>
      <w:b/>
      <w:color w:val="000000"/>
      <w:sz w:val="24"/>
      <w:szCs w:val="20"/>
      <w:lang w:eastAsia="de-DE"/>
    </w:rPr>
  </w:style>
  <w:style w:type="paragraph" w:styleId="Heading3">
    <w:name w:val="heading 3"/>
    <w:basedOn w:val="Normal"/>
    <w:next w:val="Normal"/>
    <w:link w:val="Heading3Char"/>
    <w:qFormat/>
    <w:rsid w:val="00F87A76"/>
    <w:pPr>
      <w:spacing w:after="0" w:line="340" w:lineRule="atLeast"/>
      <w:ind w:left="360"/>
      <w:jc w:val="both"/>
      <w:outlineLvl w:val="2"/>
    </w:pPr>
    <w:rPr>
      <w:rFonts w:ascii="Times New Roman" w:eastAsia="Times New Roman" w:hAnsi="Times New Roman" w:cs="Times New Roman"/>
      <w:b/>
      <w:color w:val="000000"/>
      <w:sz w:val="24"/>
      <w:szCs w:val="20"/>
      <w:lang w:eastAsia="de-DE"/>
    </w:rPr>
  </w:style>
  <w:style w:type="paragraph" w:styleId="Heading4">
    <w:name w:val="heading 4"/>
    <w:basedOn w:val="Normal"/>
    <w:next w:val="Normal"/>
    <w:link w:val="Heading4Char"/>
    <w:qFormat/>
    <w:rsid w:val="00F87A76"/>
    <w:pPr>
      <w:keepNext/>
      <w:keepLines/>
      <w:spacing w:before="240" w:after="0" w:line="480" w:lineRule="atLeast"/>
      <w:ind w:left="907" w:hanging="907"/>
      <w:jc w:val="both"/>
      <w:outlineLvl w:val="3"/>
    </w:pPr>
    <w:rPr>
      <w:rFonts w:ascii="Arial" w:eastAsia="Times New Roman" w:hAnsi="Arial" w:cstheme="majorBidi"/>
      <w:b/>
      <w:color w:val="000000"/>
      <w:sz w:val="24"/>
      <w:szCs w:val="20"/>
      <w:lang w:eastAsia="de-DE"/>
    </w:rPr>
  </w:style>
  <w:style w:type="paragraph" w:styleId="Heading5">
    <w:name w:val="heading 5"/>
    <w:basedOn w:val="Normal"/>
    <w:next w:val="Normal"/>
    <w:link w:val="Heading5Char"/>
    <w:qFormat/>
    <w:rsid w:val="00F87A76"/>
    <w:pPr>
      <w:spacing w:after="0" w:line="340" w:lineRule="atLeast"/>
      <w:ind w:left="706"/>
      <w:jc w:val="both"/>
      <w:outlineLvl w:val="4"/>
    </w:pPr>
    <w:rPr>
      <w:rFonts w:ascii="Times New Roman" w:eastAsia="Times New Roman" w:hAnsi="Times New Roman" w:cs="Times New Roman"/>
      <w:b/>
      <w:color w:val="000000"/>
      <w:sz w:val="24"/>
      <w:szCs w:val="20"/>
      <w:lang w:eastAsia="de-DE"/>
    </w:rPr>
  </w:style>
  <w:style w:type="paragraph" w:styleId="Heading6">
    <w:name w:val="heading 6"/>
    <w:basedOn w:val="Normal"/>
    <w:next w:val="Normal"/>
    <w:link w:val="Heading6Char"/>
    <w:qFormat/>
    <w:rsid w:val="00F87A76"/>
    <w:pPr>
      <w:spacing w:after="0" w:line="340" w:lineRule="atLeast"/>
      <w:ind w:left="706"/>
      <w:jc w:val="both"/>
      <w:outlineLvl w:val="5"/>
    </w:pPr>
    <w:rPr>
      <w:rFonts w:ascii="Times New Roman" w:eastAsia="Times New Roman" w:hAnsi="Times New Roman" w:cstheme="majorBidi"/>
      <w:color w:val="000000"/>
      <w:sz w:val="24"/>
      <w:szCs w:val="20"/>
      <w:u w:val="single"/>
      <w:lang w:eastAsia="de-DE"/>
    </w:rPr>
  </w:style>
  <w:style w:type="paragraph" w:styleId="Heading7">
    <w:name w:val="heading 7"/>
    <w:basedOn w:val="Normal"/>
    <w:next w:val="Normal"/>
    <w:link w:val="Heading7Char"/>
    <w:qFormat/>
    <w:rsid w:val="00F87A76"/>
    <w:pPr>
      <w:spacing w:after="0" w:line="340" w:lineRule="atLeast"/>
      <w:ind w:left="706"/>
      <w:jc w:val="both"/>
      <w:outlineLvl w:val="6"/>
    </w:pPr>
    <w:rPr>
      <w:rFonts w:ascii="Times New Roman" w:eastAsia="Times New Roman" w:hAnsi="Times New Roman" w:cs="Times New Roman"/>
      <w:i/>
      <w:color w:val="000000"/>
      <w:sz w:val="24"/>
      <w:szCs w:val="20"/>
      <w:lang w:eastAsia="de-DE"/>
    </w:rPr>
  </w:style>
  <w:style w:type="paragraph" w:styleId="Heading8">
    <w:name w:val="heading 8"/>
    <w:basedOn w:val="Normal"/>
    <w:next w:val="Normal"/>
    <w:link w:val="Heading8Char"/>
    <w:qFormat/>
    <w:rsid w:val="00F87A76"/>
    <w:pPr>
      <w:spacing w:after="0" w:line="340" w:lineRule="atLeast"/>
      <w:ind w:left="706"/>
      <w:jc w:val="both"/>
      <w:outlineLvl w:val="7"/>
    </w:pPr>
    <w:rPr>
      <w:rFonts w:ascii="Times New Roman" w:eastAsia="Times New Roman" w:hAnsi="Times New Roman" w:cstheme="majorBidi"/>
      <w:i/>
      <w:color w:val="000000"/>
      <w:sz w:val="24"/>
      <w:szCs w:val="20"/>
      <w:lang w:eastAsia="de-DE"/>
    </w:rPr>
  </w:style>
  <w:style w:type="paragraph" w:styleId="Heading9">
    <w:name w:val="heading 9"/>
    <w:basedOn w:val="Normal"/>
    <w:next w:val="Normal"/>
    <w:link w:val="Heading9Char"/>
    <w:qFormat/>
    <w:rsid w:val="00F87A76"/>
    <w:pPr>
      <w:spacing w:after="0" w:line="340" w:lineRule="atLeast"/>
      <w:ind w:left="706"/>
      <w:jc w:val="both"/>
      <w:outlineLvl w:val="8"/>
    </w:pPr>
    <w:rPr>
      <w:rFonts w:ascii="Times New Roman" w:eastAsia="Times New Roman" w:hAnsi="Times New Roman" w:cstheme="majorBidi"/>
      <w:i/>
      <w:color w:val="000000"/>
      <w:sz w:val="24"/>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A76"/>
  </w:style>
  <w:style w:type="paragraph" w:customStyle="1" w:styleId="MDPI11articletype">
    <w:name w:val="MDPI_1.1_article_type"/>
    <w:basedOn w:val="MDPI31text"/>
    <w:next w:val="MDPI12title"/>
    <w:qFormat/>
    <w:rsid w:val="00135C14"/>
    <w:pPr>
      <w:spacing w:before="240" w:line="240" w:lineRule="auto"/>
      <w:ind w:firstLine="0"/>
      <w:jc w:val="left"/>
    </w:pPr>
    <w:rPr>
      <w:i/>
    </w:rPr>
  </w:style>
  <w:style w:type="paragraph" w:customStyle="1" w:styleId="MDPI12title">
    <w:name w:val="MDPI_1.2_title"/>
    <w:next w:val="MDPI13authornames"/>
    <w:qFormat/>
    <w:rsid w:val="003B4E63"/>
    <w:pPr>
      <w:adjustRightInd w:val="0"/>
      <w:snapToGrid w:val="0"/>
      <w:spacing w:after="240" w:line="400" w:lineRule="exact"/>
    </w:pPr>
    <w:rPr>
      <w:rFonts w:ascii="Palatino Linotype" w:eastAsia="Times New Roman" w:hAnsi="Palatino Linotype" w:cs="Times New Roman"/>
      <w:b/>
      <w:snapToGrid w:val="0"/>
      <w:color w:val="000000"/>
      <w:kern w:val="0"/>
      <w:sz w:val="36"/>
      <w:lang w:eastAsia="de-DE" w:bidi="en-US"/>
    </w:rPr>
  </w:style>
  <w:style w:type="paragraph" w:customStyle="1" w:styleId="MDPI13authornames">
    <w:name w:val="MDPI_1.3_authornames"/>
    <w:basedOn w:val="MDPI31text"/>
    <w:next w:val="MDPI14history"/>
    <w:qFormat/>
    <w:rsid w:val="0012125D"/>
    <w:pPr>
      <w:spacing w:after="120"/>
      <w:ind w:firstLine="0"/>
      <w:jc w:val="left"/>
    </w:pPr>
    <w:rPr>
      <w:b/>
      <w:snapToGrid/>
    </w:rPr>
  </w:style>
  <w:style w:type="paragraph" w:customStyle="1" w:styleId="MDPI14history">
    <w:name w:val="MDPI_1.4_history"/>
    <w:basedOn w:val="MDPI62Acknowledgments"/>
    <w:next w:val="MDPI15academiceditor"/>
    <w:qFormat/>
    <w:rsid w:val="003B4E63"/>
    <w:pPr>
      <w:ind w:left="113"/>
      <w:jc w:val="left"/>
    </w:pPr>
    <w:rPr>
      <w:snapToGrid/>
    </w:rPr>
  </w:style>
  <w:style w:type="paragraph" w:customStyle="1" w:styleId="MDPI15academiceditor">
    <w:name w:val="MDPI_1.5_academic_editor"/>
    <w:basedOn w:val="MDPI62Acknowledgments"/>
    <w:qFormat/>
    <w:rsid w:val="003B4E63"/>
    <w:pPr>
      <w:spacing w:before="0" w:after="120"/>
      <w:ind w:left="113"/>
      <w:jc w:val="left"/>
    </w:pPr>
    <w:rPr>
      <w:snapToGrid/>
      <w:szCs w:val="22"/>
    </w:rPr>
  </w:style>
  <w:style w:type="paragraph" w:customStyle="1" w:styleId="MDPI16affiliation">
    <w:name w:val="MDPI_1.6_affiliation"/>
    <w:basedOn w:val="MDPI62Acknowledgments"/>
    <w:qFormat/>
    <w:rsid w:val="00F3278E"/>
    <w:pPr>
      <w:spacing w:before="0"/>
      <w:ind w:left="311" w:hanging="198"/>
      <w:jc w:val="left"/>
    </w:pPr>
    <w:rPr>
      <w:snapToGrid/>
      <w:szCs w:val="18"/>
    </w:rPr>
  </w:style>
  <w:style w:type="paragraph" w:customStyle="1" w:styleId="MDPI17abstract">
    <w:name w:val="MDPI_1.7_abstract"/>
    <w:basedOn w:val="MDPI31text"/>
    <w:next w:val="MDPI18keywords"/>
    <w:qFormat/>
    <w:rsid w:val="003B4E63"/>
    <w:pPr>
      <w:spacing w:before="240"/>
      <w:ind w:left="113" w:firstLine="0"/>
    </w:pPr>
    <w:rPr>
      <w:snapToGrid/>
    </w:rPr>
  </w:style>
  <w:style w:type="paragraph" w:customStyle="1" w:styleId="MDPI18keywords">
    <w:name w:val="MDPI_1.8_keywords"/>
    <w:basedOn w:val="MDPI31text"/>
    <w:next w:val="MDPI19classification"/>
    <w:qFormat/>
    <w:rsid w:val="003B4E63"/>
    <w:pPr>
      <w:spacing w:before="240"/>
      <w:ind w:left="113" w:firstLine="0"/>
    </w:pPr>
  </w:style>
  <w:style w:type="paragraph" w:customStyle="1" w:styleId="MDPI19classification">
    <w:name w:val="MDPI_1.9_classification"/>
    <w:basedOn w:val="MDPI31text"/>
    <w:qFormat/>
    <w:rsid w:val="003B4E63"/>
    <w:pPr>
      <w:spacing w:before="240"/>
      <w:ind w:left="113" w:firstLine="0"/>
    </w:pPr>
    <w:rPr>
      <w:b/>
      <w:snapToGrid/>
    </w:rPr>
  </w:style>
  <w:style w:type="paragraph" w:customStyle="1" w:styleId="MDPI19line">
    <w:name w:val="MDPI_1.9_line"/>
    <w:basedOn w:val="MDPI31text"/>
    <w:qFormat/>
    <w:rsid w:val="003B4E63"/>
    <w:pPr>
      <w:pBdr>
        <w:bottom w:val="single" w:sz="6" w:space="1" w:color="auto"/>
      </w:pBdr>
      <w:ind w:firstLine="0"/>
    </w:pPr>
    <w:rPr>
      <w:rFonts w:cstheme="minorBidi"/>
      <w:snapToGrid/>
      <w:szCs w:val="24"/>
    </w:rPr>
  </w:style>
  <w:style w:type="paragraph" w:customStyle="1" w:styleId="M1stheader">
    <w:name w:val="M_1stheader"/>
    <w:basedOn w:val="Normal"/>
    <w:rsid w:val="00F87A76"/>
    <w:pPr>
      <w:tabs>
        <w:tab w:val="center" w:pos="4320"/>
        <w:tab w:val="right" w:pos="8640"/>
      </w:tabs>
      <w:spacing w:after="0" w:line="340" w:lineRule="atLeast"/>
      <w:ind w:right="360"/>
      <w:jc w:val="both"/>
      <w:outlineLvl w:val="0"/>
    </w:pPr>
    <w:rPr>
      <w:rFonts w:ascii="Times New Roman" w:eastAsia="Times New Roman" w:hAnsi="Times New Roman" w:cs="Times New Roman"/>
      <w:i/>
      <w:color w:val="000000"/>
      <w:sz w:val="24"/>
      <w:szCs w:val="20"/>
      <w:lang w:eastAsia="de-DE"/>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after="0" w:line="240" w:lineRule="atLeast"/>
      <w:jc w:val="both"/>
    </w:pPr>
    <w:rPr>
      <w:rFonts w:ascii="Minion Pro" w:eastAsia="Times New Roman" w:hAnsi="Minion Pro" w:cs="Times New Roman"/>
      <w:color w:val="000000" w:themeColor="text1"/>
      <w:sz w:val="24"/>
      <w:szCs w:val="20"/>
      <w:lang w:eastAsia="de-DE"/>
    </w:rPr>
  </w:style>
  <w:style w:type="paragraph" w:customStyle="1" w:styleId="Maddress">
    <w:name w:val="M_address"/>
    <w:basedOn w:val="Normal"/>
    <w:rsid w:val="00F87A76"/>
    <w:pPr>
      <w:spacing w:before="240" w:after="0" w:line="340" w:lineRule="atLeast"/>
      <w:jc w:val="both"/>
    </w:pPr>
    <w:rPr>
      <w:rFonts w:ascii="Times New Roman" w:eastAsia="Times New Roman" w:hAnsi="Times New Roman" w:cs="Times New Roman"/>
      <w:color w:val="000000"/>
      <w:sz w:val="24"/>
      <w:szCs w:val="20"/>
      <w:lang w:eastAsia="de-DE"/>
    </w:rPr>
  </w:style>
  <w:style w:type="paragraph" w:customStyle="1" w:styleId="Mauthor">
    <w:name w:val="M_author"/>
    <w:basedOn w:val="Normal"/>
    <w:rsid w:val="00F87A76"/>
    <w:pPr>
      <w:spacing w:before="240" w:after="240" w:line="340" w:lineRule="exact"/>
      <w:jc w:val="both"/>
    </w:pPr>
    <w:rPr>
      <w:rFonts w:ascii="Times New Roman" w:eastAsia="Times New Roman" w:hAnsi="Times New Roman" w:cs="Times New Roman"/>
      <w:b/>
      <w:color w:val="000000"/>
      <w:sz w:val="24"/>
      <w:szCs w:val="20"/>
      <w:lang w:val="it-IT" w:eastAsia="de-DE"/>
    </w:rPr>
  </w:style>
  <w:style w:type="paragraph" w:customStyle="1" w:styleId="MCaption">
    <w:name w:val="M_Caption"/>
    <w:basedOn w:val="Normal"/>
    <w:rsid w:val="00F87A76"/>
    <w:pPr>
      <w:spacing w:before="240" w:after="240" w:line="340" w:lineRule="atLeast"/>
      <w:jc w:val="center"/>
    </w:pPr>
    <w:rPr>
      <w:rFonts w:ascii="Times New Roman" w:eastAsia="Times New Roman" w:hAnsi="Times New Roman" w:cs="Times New Roman"/>
      <w:color w:val="000000"/>
      <w:sz w:val="24"/>
      <w:szCs w:val="20"/>
      <w:lang w:eastAsia="de-DE"/>
    </w:r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1articletitle">
    <w:name w:val="M_deck_1_article_title"/>
    <w:next w:val="Mdeck2authorname"/>
    <w:qFormat/>
    <w:rsid w:val="00E315BB"/>
    <w:pPr>
      <w:kinsoku w:val="0"/>
      <w:overflowPunct w:val="0"/>
      <w:autoSpaceDE w:val="0"/>
      <w:autoSpaceDN w:val="0"/>
      <w:adjustRightInd w:val="0"/>
      <w:snapToGrid w:val="0"/>
      <w:spacing w:after="240" w:line="400" w:lineRule="exact"/>
    </w:pPr>
    <w:rPr>
      <w:rFonts w:ascii="Minion Pro" w:eastAsia="Times New Roman" w:hAnsi="Minion Pro"/>
      <w:b/>
      <w:snapToGrid w:val="0"/>
      <w:color w:val="000000"/>
      <w:kern w:val="0"/>
      <w:sz w:val="36"/>
      <w:lang w:eastAsia="de-DE" w:bidi="en-US"/>
    </w:rPr>
  </w:style>
  <w:style w:type="paragraph" w:customStyle="1" w:styleId="Mdeck1articletype">
    <w:name w:val="M_deck_1_article_type"/>
    <w:basedOn w:val="Mdeck4text"/>
    <w:next w:val="Mdeck1articletitle"/>
    <w:qFormat/>
    <w:rsid w:val="00E315BB"/>
    <w:pPr>
      <w:widowControl w:val="0"/>
      <w:spacing w:before="120" w:after="120" w:line="240" w:lineRule="auto"/>
      <w:ind w:firstLine="0"/>
      <w:jc w:val="left"/>
    </w:pPr>
    <w:rPr>
      <w:rFonts w:cs="Times New Roman"/>
      <w:i/>
      <w:sz w:val="20"/>
      <w:szCs w:val="24"/>
    </w:rPr>
  </w:style>
  <w:style w:type="paragraph" w:customStyle="1" w:styleId="Mdeck2authoraffiliation">
    <w:name w:val="M_deck_2_author_affiliation"/>
    <w:qFormat/>
    <w:rsid w:val="00E315BB"/>
    <w:pPr>
      <w:widowControl w:val="0"/>
      <w:kinsoku w:val="0"/>
      <w:overflowPunct w:val="0"/>
      <w:autoSpaceDE w:val="0"/>
      <w:autoSpaceDN w:val="0"/>
      <w:adjustRightInd w:val="0"/>
      <w:snapToGrid w:val="0"/>
      <w:spacing w:line="340" w:lineRule="atLeast"/>
      <w:ind w:left="311" w:hanging="198"/>
    </w:pPr>
    <w:rPr>
      <w:rFonts w:eastAsia="Times New Roman"/>
      <w:snapToGrid w:val="0"/>
      <w:color w:val="000000"/>
      <w:kern w:val="0"/>
      <w:sz w:val="24"/>
      <w:lang w:eastAsia="de-DE" w:bidi="en-US"/>
    </w:rPr>
  </w:style>
  <w:style w:type="paragraph" w:customStyle="1" w:styleId="Mdeck2authorcorrespondence">
    <w:name w:val="M_deck_2_author_correspondence"/>
    <w:qFormat/>
    <w:rsid w:val="00E315BB"/>
    <w:pPr>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kern w:val="0"/>
      <w:sz w:val="18"/>
      <w:lang w:eastAsia="de-DE" w:bidi="en-US"/>
    </w:rPr>
  </w:style>
  <w:style w:type="paragraph" w:customStyle="1" w:styleId="Mdeck2authorname">
    <w:name w:val="M_deck_2_author_name"/>
    <w:next w:val="Mdeck3publcationhistory"/>
    <w:qFormat/>
    <w:rsid w:val="00E315BB"/>
    <w:pPr>
      <w:kinsoku w:val="0"/>
      <w:overflowPunct w:val="0"/>
      <w:autoSpaceDE w:val="0"/>
      <w:autoSpaceDN w:val="0"/>
      <w:adjustRightInd w:val="0"/>
      <w:snapToGrid w:val="0"/>
      <w:spacing w:before="240" w:after="120" w:line="320" w:lineRule="atLeast"/>
    </w:pPr>
    <w:rPr>
      <w:rFonts w:eastAsia="Times New Roman"/>
      <w:b/>
      <w:snapToGrid w:val="0"/>
      <w:color w:val="000000"/>
      <w:kern w:val="0"/>
      <w:sz w:val="22"/>
      <w:lang w:eastAsia="de-DE" w:bidi="en-US"/>
    </w:rPr>
  </w:style>
  <w:style w:type="paragraph" w:customStyle="1" w:styleId="Mdeck3abstract">
    <w:name w:val="M_deck_3_abstract"/>
    <w:basedOn w:val="Mdeck4text"/>
    <w:next w:val="Mdeck3keywords"/>
    <w:qFormat/>
    <w:rsid w:val="00E315BB"/>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E315BB"/>
    <w:pPr>
      <w:spacing w:before="240"/>
      <w:ind w:left="113" w:firstLine="0"/>
    </w:pPr>
  </w:style>
  <w:style w:type="paragraph" w:customStyle="1" w:styleId="Mdeck3publcationhistory">
    <w:name w:val="M_deck_3_publcation_history"/>
    <w:next w:val="Normal"/>
    <w:qFormat/>
    <w:rsid w:val="00E315BB"/>
    <w:pPr>
      <w:widowControl w:val="0"/>
      <w:kinsoku w:val="0"/>
      <w:overflowPunct w:val="0"/>
      <w:autoSpaceDE w:val="0"/>
      <w:autoSpaceDN w:val="0"/>
      <w:adjustRightInd w:val="0"/>
      <w:snapToGrid w:val="0"/>
      <w:spacing w:before="240" w:line="340" w:lineRule="atLeast"/>
      <w:ind w:left="113"/>
    </w:pPr>
    <w:rPr>
      <w:rFonts w:eastAsia="Times New Roman"/>
      <w:i/>
      <w:snapToGrid w:val="0"/>
      <w:color w:val="000000"/>
      <w:kern w:val="0"/>
      <w:sz w:val="24"/>
      <w:lang w:eastAsia="de-DE" w:bidi="en-US"/>
    </w:rPr>
  </w:style>
  <w:style w:type="paragraph" w:customStyle="1" w:styleId="Mdeck4heading1">
    <w:name w:val="M_deck_4_heading_1"/>
    <w:basedOn w:val="MHeading3"/>
    <w:next w:val="Normal"/>
    <w:qFormat/>
    <w:rsid w:val="00E315BB"/>
    <w:pPr>
      <w:spacing w:line="340" w:lineRule="atLeast"/>
      <w:outlineLvl w:val="0"/>
    </w:pPr>
    <w:rPr>
      <w:b/>
      <w:snapToGrid/>
    </w:rPr>
  </w:style>
  <w:style w:type="paragraph" w:customStyle="1" w:styleId="Mdeck4heading2">
    <w:name w:val="M_deck_4_heading_2"/>
    <w:basedOn w:val="MHeading3"/>
    <w:next w:val="Normal"/>
    <w:qFormat/>
    <w:rsid w:val="00E315BB"/>
    <w:pPr>
      <w:outlineLvl w:val="1"/>
    </w:pPr>
    <w:rPr>
      <w:i/>
      <w:snapToGrid/>
    </w:rPr>
  </w:style>
  <w:style w:type="paragraph" w:customStyle="1" w:styleId="Mdeck4heading3">
    <w:name w:val="M_deck_4_heading_3"/>
    <w:basedOn w:val="Mdeck4text"/>
    <w:next w:val="Normal"/>
    <w:qFormat/>
    <w:rsid w:val="00E315BB"/>
    <w:pPr>
      <w:spacing w:before="240" w:after="120" w:line="340" w:lineRule="atLeast"/>
      <w:ind w:firstLineChars="50" w:firstLine="50"/>
      <w:outlineLvl w:val="2"/>
    </w:pPr>
    <w:rPr>
      <w:snapToGrid/>
    </w:rPr>
  </w:style>
  <w:style w:type="paragraph" w:customStyle="1" w:styleId="Mdeck4text">
    <w:name w:val="M_deck_4_text"/>
    <w:qFormat/>
    <w:rsid w:val="00E315BB"/>
    <w:pPr>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kern w:val="0"/>
      <w:sz w:val="24"/>
      <w:lang w:eastAsia="de-DE" w:bidi="en-US"/>
    </w:rPr>
  </w:style>
  <w:style w:type="paragraph" w:customStyle="1" w:styleId="Mdeck4textbulletlist">
    <w:name w:val="M_deck_4_text_bullet_list"/>
    <w:basedOn w:val="Mdeck4text"/>
    <w:qFormat/>
    <w:rsid w:val="00E315BB"/>
    <w:pPr>
      <w:numPr>
        <w:numId w:val="4"/>
      </w:numPr>
      <w:spacing w:before="120" w:after="120" w:line="340" w:lineRule="atLeast"/>
    </w:pPr>
    <w:rPr>
      <w:snapToGrid/>
    </w:rPr>
  </w:style>
  <w:style w:type="paragraph" w:customStyle="1" w:styleId="Mdeck4textfirstlinezero">
    <w:name w:val="M_deck_4_text_firstline_zero"/>
    <w:basedOn w:val="Mdeck4text"/>
    <w:next w:val="Mdeck4text"/>
    <w:qFormat/>
    <w:rsid w:val="00E315BB"/>
    <w:pPr>
      <w:ind w:firstLine="0"/>
    </w:pPr>
    <w:rPr>
      <w:szCs w:val="24"/>
    </w:rPr>
  </w:style>
  <w:style w:type="paragraph" w:customStyle="1" w:styleId="MFigure">
    <w:name w:val="M_Figure"/>
    <w:qFormat/>
    <w:rsid w:val="00F87A7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E315BB"/>
    <w:rPr>
      <w:i/>
    </w:rPr>
  </w:style>
  <w:style w:type="paragraph" w:customStyle="1" w:styleId="Mdeck4textlrindent">
    <w:name w:val="M_deck_4_text_lr_indent"/>
    <w:basedOn w:val="Mdeck4text"/>
    <w:qFormat/>
    <w:rsid w:val="00E315BB"/>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E315BB"/>
    <w:pPr>
      <w:numPr>
        <w:numId w:val="5"/>
      </w:numPr>
      <w:spacing w:before="120" w:after="120" w:line="340" w:lineRule="atLeast"/>
    </w:pPr>
    <w:rPr>
      <w:snapToGrid/>
    </w:rPr>
  </w:style>
  <w:style w:type="paragraph" w:customStyle="1" w:styleId="Mdeck5tablebody">
    <w:name w:val="M_deck_5_table_body"/>
    <w:qFormat/>
    <w:rsid w:val="00E315BB"/>
    <w:pPr>
      <w:kinsoku w:val="0"/>
      <w:overflowPunct w:val="0"/>
      <w:autoSpaceDE w:val="0"/>
      <w:autoSpaceDN w:val="0"/>
      <w:adjustRightInd w:val="0"/>
      <w:snapToGrid w:val="0"/>
      <w:jc w:val="center"/>
    </w:pPr>
    <w:rPr>
      <w:rFonts w:ascii="Minion Pro" w:eastAsia="Times New Roman" w:hAnsi="Minion Pro"/>
      <w:snapToGrid w:val="0"/>
      <w:color w:val="000000"/>
      <w:kern w:val="0"/>
      <w:lang w:eastAsia="de-DE" w:bidi="en-US"/>
    </w:rPr>
  </w:style>
  <w:style w:type="table" w:customStyle="1" w:styleId="Mdeck5tablebodythreelines">
    <w:name w:val="M_deck_5_table_body_three_lines"/>
    <w:basedOn w:val="TableNormal"/>
    <w:uiPriority w:val="99"/>
    <w:rsid w:val="00E315BB"/>
    <w:pPr>
      <w:adjustRightInd w:val="0"/>
      <w:snapToGrid w:val="0"/>
      <w:spacing w:line="300" w:lineRule="exact"/>
      <w:jc w:val="center"/>
    </w:pPr>
    <w:rPr>
      <w:rFonts w:cs="Times New Roman"/>
      <w:kern w:val="0"/>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E315BB"/>
    <w:pPr>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kern w:val="0"/>
      <w:sz w:val="18"/>
      <w:lang w:eastAsia="de-DE" w:bidi="en-US"/>
    </w:rPr>
  </w:style>
  <w:style w:type="paragraph" w:customStyle="1" w:styleId="Mdeck5tablefooter">
    <w:name w:val="M_deck_5_table_footer"/>
    <w:basedOn w:val="Mdeck5tablecaption"/>
    <w:next w:val="Mdeck4text"/>
    <w:qFormat/>
    <w:rsid w:val="00E315BB"/>
    <w:pPr>
      <w:spacing w:line="300" w:lineRule="exact"/>
    </w:pPr>
  </w:style>
  <w:style w:type="paragraph" w:customStyle="1" w:styleId="Mdeck5tableheader">
    <w:name w:val="M_deck_5_table_header"/>
    <w:basedOn w:val="Mdeck5tablefooter"/>
    <w:rsid w:val="00E315BB"/>
  </w:style>
  <w:style w:type="paragraph" w:customStyle="1" w:styleId="Mdeck6figurebody">
    <w:name w:val="M_deck_6_figure_body"/>
    <w:qFormat/>
    <w:rsid w:val="00E315BB"/>
    <w:pPr>
      <w:widowControl w:val="0"/>
      <w:kinsoku w:val="0"/>
      <w:overflowPunct w:val="0"/>
      <w:autoSpaceDE w:val="0"/>
      <w:autoSpaceDN w:val="0"/>
      <w:adjustRightInd w:val="0"/>
      <w:snapToGrid w:val="0"/>
      <w:spacing w:line="340" w:lineRule="atLeast"/>
      <w:jc w:val="center"/>
    </w:pPr>
    <w:rPr>
      <w:rFonts w:eastAsia="Times New Roman"/>
      <w:snapToGrid w:val="0"/>
      <w:color w:val="000000"/>
      <w:kern w:val="0"/>
      <w:sz w:val="24"/>
      <w:lang w:eastAsia="de-DE" w:bidi="en-US"/>
    </w:rPr>
  </w:style>
  <w:style w:type="paragraph" w:customStyle="1" w:styleId="Mdeck6figurecaption">
    <w:name w:val="M_deck_6_figure_caption"/>
    <w:next w:val="Mdeck4text"/>
    <w:qFormat/>
    <w:rsid w:val="00E315BB"/>
    <w:pPr>
      <w:adjustRightInd w:val="0"/>
      <w:snapToGrid w:val="0"/>
      <w:spacing w:before="120" w:line="260" w:lineRule="atLeast"/>
    </w:pPr>
    <w:rPr>
      <w:rFonts w:ascii="Palatino Linotype" w:eastAsia="Times New Roman" w:hAnsi="Palatino Linotype"/>
      <w:snapToGrid w:val="0"/>
      <w:color w:val="000000"/>
      <w:kern w:val="0"/>
      <w:sz w:val="18"/>
      <w:lang w:eastAsia="de-DE" w:bidi="en-US"/>
    </w:rPr>
  </w:style>
  <w:style w:type="paragraph" w:customStyle="1" w:styleId="Mdeck7equation">
    <w:name w:val="M_deck_7_equation"/>
    <w:basedOn w:val="Mdeck4text"/>
    <w:qFormat/>
    <w:rsid w:val="00E315BB"/>
    <w:pPr>
      <w:spacing w:before="120" w:after="120"/>
      <w:ind w:left="709" w:firstLine="0"/>
      <w:jc w:val="center"/>
    </w:pPr>
    <w:rPr>
      <w:i/>
      <w:snapToGrid/>
      <w:szCs w:val="24"/>
      <w:lang w:eastAsia="en-US"/>
    </w:rPr>
  </w:style>
  <w:style w:type="paragraph" w:customStyle="1" w:styleId="Mdeck8references">
    <w:name w:val="M_deck_8_references"/>
    <w:qFormat/>
    <w:rsid w:val="00E315BB"/>
    <w:pPr>
      <w:numPr>
        <w:numId w:val="6"/>
      </w:numPr>
      <w:kinsoku w:val="0"/>
      <w:overflowPunct w:val="0"/>
      <w:autoSpaceDE w:val="0"/>
      <w:autoSpaceDN w:val="0"/>
      <w:adjustRightInd w:val="0"/>
      <w:snapToGrid w:val="0"/>
      <w:spacing w:line="260" w:lineRule="atLeast"/>
      <w:jc w:val="both"/>
    </w:pPr>
    <w:rPr>
      <w:rFonts w:eastAsia="Times New Roman"/>
      <w:snapToGrid w:val="0"/>
      <w:color w:val="000000"/>
      <w:kern w:val="0"/>
      <w:sz w:val="24"/>
      <w:lang w:eastAsia="de-DE" w:bidi="en-US"/>
    </w:rPr>
  </w:style>
  <w:style w:type="paragraph" w:customStyle="1" w:styleId="MHeader">
    <w:name w:val="M_Header"/>
    <w:basedOn w:val="Normal"/>
    <w:rsid w:val="00F87A76"/>
    <w:pPr>
      <w:spacing w:after="240" w:line="340" w:lineRule="atLeast"/>
      <w:ind w:left="425"/>
      <w:jc w:val="both"/>
    </w:pPr>
    <w:rPr>
      <w:rFonts w:ascii="Minion Pro" w:eastAsia="Times New Roman" w:hAnsi="Minion Pro" w:cs="Times New Roman"/>
      <w:color w:val="000000"/>
      <w:sz w:val="24"/>
      <w:szCs w:val="20"/>
      <w:lang w:eastAsia="de-DE"/>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Heading3">
    <w:name w:val="M_Heading3"/>
    <w:basedOn w:val="Mdeck4text"/>
    <w:qFormat/>
    <w:rsid w:val="00F87A76"/>
    <w:pPr>
      <w:spacing w:before="240" w:after="120"/>
    </w:pPr>
  </w:style>
  <w:style w:type="paragraph" w:customStyle="1" w:styleId="MISSN">
    <w:name w:val="M_ISSN"/>
    <w:basedOn w:val="Normal"/>
    <w:rsid w:val="00F87A76"/>
    <w:pPr>
      <w:spacing w:after="520" w:line="340" w:lineRule="atLeast"/>
      <w:jc w:val="right"/>
    </w:pPr>
    <w:rPr>
      <w:rFonts w:ascii="Times New Roman" w:eastAsia="Times New Roman" w:hAnsi="Times New Roman" w:cs="Times New Roman"/>
      <w:color w:val="000000"/>
      <w:sz w:val="24"/>
      <w:szCs w:val="20"/>
      <w:lang w:eastAsia="de-DE"/>
    </w:r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after="0" w:line="340" w:lineRule="atLeast"/>
      <w:jc w:val="right"/>
    </w:pPr>
    <w:rPr>
      <w:rFonts w:ascii="Times New Roman" w:eastAsia="Times New Roman" w:hAnsi="Times New Roman" w:cs="Times New Roman"/>
      <w:b/>
      <w:i/>
      <w:color w:val="000000"/>
      <w:sz w:val="64"/>
      <w:szCs w:val="20"/>
      <w:lang w:eastAsia="de-DE"/>
    </w:rPr>
  </w:style>
  <w:style w:type="paragraph" w:customStyle="1" w:styleId="Mreceived">
    <w:name w:val="M_received"/>
    <w:basedOn w:val="Maddress"/>
    <w:rsid w:val="00F87A76"/>
    <w:rPr>
      <w:i/>
    </w:rPr>
  </w:style>
  <w:style w:type="paragraph" w:customStyle="1" w:styleId="MRefer">
    <w:name w:val="M_Refer"/>
    <w:basedOn w:val="Normal"/>
    <w:rsid w:val="00F87A76"/>
    <w:pPr>
      <w:spacing w:after="0" w:line="340" w:lineRule="atLeast"/>
      <w:ind w:left="461" w:hanging="461"/>
      <w:jc w:val="both"/>
    </w:pPr>
    <w:rPr>
      <w:rFonts w:ascii="Times New Roman" w:eastAsia="Times New Roman" w:hAnsi="Times New Roman" w:cs="Times New Roman"/>
      <w:color w:val="000000"/>
      <w:sz w:val="24"/>
      <w:szCs w:val="20"/>
      <w:lang w:eastAsia="de-DE"/>
    </w:rPr>
  </w:style>
  <w:style w:type="paragraph" w:customStyle="1" w:styleId="Mtable">
    <w:name w:val="M_table"/>
    <w:basedOn w:val="Normal"/>
    <w:rsid w:val="00F87A76"/>
    <w:pPr>
      <w:keepNext/>
      <w:tabs>
        <w:tab w:val="left" w:pos="284"/>
      </w:tabs>
      <w:spacing w:after="0" w:line="340" w:lineRule="atLeast"/>
      <w:jc w:val="both"/>
    </w:pPr>
    <w:rPr>
      <w:rFonts w:ascii="Times New Roman" w:eastAsia="Times New Roman" w:hAnsi="Times New Roman" w:cs="Times New Roman"/>
      <w:color w:val="000000"/>
      <w:sz w:val="24"/>
      <w:szCs w:val="20"/>
      <w:lang w:eastAsia="de-DE"/>
    </w:r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spacing w:after="0" w:line="340" w:lineRule="atLeast"/>
      <w:ind w:firstLine="288"/>
      <w:jc w:val="both"/>
    </w:pPr>
    <w:rPr>
      <w:rFonts w:ascii="Times New Roman" w:eastAsia="Times New Roman" w:hAnsi="Times New Roman" w:cs="Times New Roman"/>
      <w:color w:val="000000"/>
      <w:sz w:val="24"/>
      <w:szCs w:val="20"/>
      <w:lang w:eastAsia="de-DE"/>
    </w:rPr>
  </w:style>
  <w:style w:type="paragraph" w:customStyle="1" w:styleId="MTitel">
    <w:name w:val="M_Titel"/>
    <w:basedOn w:val="Normal"/>
    <w:rsid w:val="00F87A76"/>
    <w:pPr>
      <w:spacing w:before="240" w:after="0" w:line="340" w:lineRule="atLeast"/>
      <w:jc w:val="both"/>
    </w:pPr>
    <w:rPr>
      <w:rFonts w:ascii="Times New Roman" w:eastAsia="Times New Roman" w:hAnsi="Times New Roman" w:cs="Times New Roman"/>
      <w:b/>
      <w:color w:val="000000"/>
      <w:sz w:val="36"/>
      <w:szCs w:val="20"/>
      <w:lang w:val="en-GB" w:eastAsia="de-DE"/>
    </w:rPr>
  </w:style>
  <w:style w:type="paragraph" w:customStyle="1" w:styleId="MDPIheader">
    <w:name w:val="MDPI_header"/>
    <w:qFormat/>
    <w:rsid w:val="003B4E63"/>
    <w:pPr>
      <w:adjustRightInd w:val="0"/>
      <w:snapToGrid w:val="0"/>
      <w:spacing w:after="240"/>
    </w:pPr>
    <w:rPr>
      <w:rFonts w:ascii="Palatino Linotype" w:eastAsia="Times New Roman" w:hAnsi="Palatino Linotype" w:cs="Times New Roman"/>
      <w:iCs/>
      <w:kern w:val="0"/>
      <w:sz w:val="16"/>
      <w:lang w:eastAsia="de-DE"/>
    </w:rPr>
  </w:style>
  <w:style w:type="paragraph" w:customStyle="1" w:styleId="Mheaderjournallogo">
    <w:name w:val="M_header_journal_logo"/>
    <w:qFormat/>
    <w:rsid w:val="00F87A76"/>
    <w:rPr>
      <w:rFonts w:ascii="Minion Pro" w:eastAsiaTheme="minorEastAsia" w:hAnsi="Minion Pro" w:cs="Times New Roman"/>
      <w:color w:val="000000"/>
      <w:kern w:val="0"/>
      <w:sz w:val="24"/>
      <w:lang w:val="de-DE"/>
    </w:rPr>
  </w:style>
  <w:style w:type="paragraph" w:customStyle="1" w:styleId="TextBericht">
    <w:name w:val="Text_Bericht"/>
    <w:basedOn w:val="Normal"/>
    <w:uiPriority w:val="99"/>
    <w:rsid w:val="00F87A76"/>
    <w:pPr>
      <w:spacing w:after="120"/>
      <w:jc w:val="both"/>
    </w:pPr>
    <w:rPr>
      <w:rFonts w:ascii="Arial" w:eastAsia="Times New Roman" w:hAnsi="Arial" w:cs="Times New Roman"/>
      <w:color w:val="000000"/>
      <w:sz w:val="24"/>
      <w:szCs w:val="20"/>
      <w:lang w:val="de-DE" w:eastAsia="de-DE"/>
    </w:rPr>
  </w:style>
  <w:style w:type="character" w:customStyle="1" w:styleId="Heading2Char">
    <w:name w:val="Heading 2 Char"/>
    <w:basedOn w:val="DefaultParagraphFont"/>
    <w:link w:val="Heading2"/>
    <w:rsid w:val="00F87A76"/>
    <w:rPr>
      <w:rFonts w:ascii="Arial" w:eastAsia="Times New Roman" w:hAnsi="Arial" w:cstheme="majorBidi"/>
      <w:b/>
      <w:color w:val="000000"/>
      <w:kern w:val="0"/>
      <w:sz w:val="24"/>
      <w:lang w:eastAsia="de-DE"/>
    </w:rPr>
  </w:style>
  <w:style w:type="paragraph" w:customStyle="1" w:styleId="berschrift3">
    <w:name w:val="Überschrift3"/>
    <w:basedOn w:val="Heading2"/>
    <w:uiPriority w:val="99"/>
    <w:rsid w:val="00F87A76"/>
    <w:pPr>
      <w:keepNext/>
      <w:tabs>
        <w:tab w:val="num" w:pos="360"/>
      </w:tabs>
      <w:spacing w:before="0"/>
      <w:ind w:left="576" w:hanging="576"/>
    </w:pPr>
    <w:rPr>
      <w:rFonts w:cs="Arial"/>
      <w:bCs/>
      <w:iCs/>
      <w:sz w:val="18"/>
      <w:szCs w:val="28"/>
      <w:lang w:val="de-DE"/>
    </w:rPr>
  </w:style>
  <w:style w:type="character" w:customStyle="1" w:styleId="Heading1Char">
    <w:name w:val="Heading 1 Char"/>
    <w:aliases w:val="x Char"/>
    <w:basedOn w:val="DefaultParagraphFont"/>
    <w:link w:val="Heading1"/>
    <w:rsid w:val="00F87A76"/>
    <w:rPr>
      <w:rFonts w:ascii="Arial" w:eastAsia="Times New Roman" w:hAnsi="Arial" w:cs="Times New Roman"/>
      <w:b/>
      <w:color w:val="000000"/>
      <w:kern w:val="0"/>
      <w:sz w:val="24"/>
      <w:u w:val="single"/>
      <w:lang w:eastAsia="de-DE"/>
    </w:rPr>
  </w:style>
  <w:style w:type="character" w:customStyle="1" w:styleId="Heading3Char">
    <w:name w:val="Heading 3 Char"/>
    <w:basedOn w:val="DefaultParagraphFont"/>
    <w:link w:val="Heading3"/>
    <w:rsid w:val="00F87A76"/>
    <w:rPr>
      <w:rFonts w:eastAsia="Times New Roman" w:cs="Times New Roman"/>
      <w:b/>
      <w:color w:val="000000"/>
      <w:kern w:val="0"/>
      <w:sz w:val="24"/>
      <w:lang w:eastAsia="de-DE"/>
    </w:rPr>
  </w:style>
  <w:style w:type="character" w:customStyle="1" w:styleId="Heading4Char">
    <w:name w:val="Heading 4 Char"/>
    <w:basedOn w:val="DefaultParagraphFont"/>
    <w:link w:val="Heading4"/>
    <w:rsid w:val="00F87A76"/>
    <w:rPr>
      <w:rFonts w:ascii="Arial" w:eastAsia="Times New Roman" w:hAnsi="Arial" w:cstheme="majorBidi"/>
      <w:b/>
      <w:color w:val="000000"/>
      <w:kern w:val="0"/>
      <w:sz w:val="24"/>
      <w:lang w:eastAsia="de-DE"/>
    </w:rPr>
  </w:style>
  <w:style w:type="character" w:customStyle="1" w:styleId="Heading5Char">
    <w:name w:val="Heading 5 Char"/>
    <w:basedOn w:val="DefaultParagraphFont"/>
    <w:link w:val="Heading5"/>
    <w:rsid w:val="00F87A76"/>
    <w:rPr>
      <w:rFonts w:eastAsia="Times New Roman" w:cs="Times New Roman"/>
      <w:b/>
      <w:color w:val="000000"/>
      <w:kern w:val="0"/>
      <w:sz w:val="24"/>
      <w:lang w:eastAsia="de-DE"/>
    </w:rPr>
  </w:style>
  <w:style w:type="character" w:customStyle="1" w:styleId="Heading6Char">
    <w:name w:val="Heading 6 Char"/>
    <w:basedOn w:val="DefaultParagraphFont"/>
    <w:link w:val="Heading6"/>
    <w:rsid w:val="00F87A76"/>
    <w:rPr>
      <w:rFonts w:eastAsia="Times New Roman" w:cstheme="majorBidi"/>
      <w:color w:val="000000"/>
      <w:kern w:val="0"/>
      <w:sz w:val="24"/>
      <w:u w:val="single"/>
      <w:lang w:eastAsia="de-DE"/>
    </w:rPr>
  </w:style>
  <w:style w:type="character" w:customStyle="1" w:styleId="Heading7Char">
    <w:name w:val="Heading 7 Char"/>
    <w:basedOn w:val="DefaultParagraphFont"/>
    <w:link w:val="Heading7"/>
    <w:rsid w:val="00F87A76"/>
    <w:rPr>
      <w:rFonts w:eastAsia="Times New Roman" w:cs="Times New Roman"/>
      <w:i/>
      <w:color w:val="000000"/>
      <w:kern w:val="0"/>
      <w:sz w:val="24"/>
      <w:lang w:eastAsia="de-DE"/>
    </w:rPr>
  </w:style>
  <w:style w:type="character" w:customStyle="1" w:styleId="Heading8Char">
    <w:name w:val="Heading 8 Char"/>
    <w:basedOn w:val="DefaultParagraphFont"/>
    <w:link w:val="Heading8"/>
    <w:rsid w:val="00F87A76"/>
    <w:rPr>
      <w:rFonts w:eastAsia="Times New Roman" w:cstheme="majorBidi"/>
      <w:i/>
      <w:color w:val="000000"/>
      <w:kern w:val="0"/>
      <w:sz w:val="24"/>
      <w:lang w:eastAsia="de-DE"/>
    </w:rPr>
  </w:style>
  <w:style w:type="character" w:customStyle="1" w:styleId="Heading9Char">
    <w:name w:val="Heading 9 Char"/>
    <w:basedOn w:val="DefaultParagraphFont"/>
    <w:link w:val="Heading9"/>
    <w:rsid w:val="00F87A76"/>
    <w:rPr>
      <w:rFonts w:eastAsia="Times New Roman" w:cstheme="majorBidi"/>
      <w:i/>
      <w:color w:val="000000"/>
      <w:kern w:val="0"/>
      <w:sz w:val="24"/>
      <w:lang w:eastAsia="de-DE"/>
    </w:rPr>
  </w:style>
  <w:style w:type="character" w:styleId="Hyperlink">
    <w:name w:val="Hyperlink"/>
    <w:uiPriority w:val="99"/>
    <w:rsid w:val="00F87A76"/>
    <w:rPr>
      <w:color w:val="0000FF"/>
      <w:u w:val="single"/>
    </w:rPr>
  </w:style>
  <w:style w:type="character" w:styleId="FollowedHyperlink">
    <w:name w:val="FollowedHyperlink"/>
    <w:basedOn w:val="DefaultParagraphFont"/>
    <w:rsid w:val="00F87A76"/>
    <w:rPr>
      <w:color w:val="954F72" w:themeColor="followedHyperlink"/>
      <w:u w:val="single"/>
    </w:rPr>
  </w:style>
  <w:style w:type="character" w:styleId="LineNumber">
    <w:name w:val="line number"/>
    <w:basedOn w:val="DefaultParagraphFont"/>
    <w:uiPriority w:val="99"/>
    <w:rsid w:val="00F87A76"/>
  </w:style>
  <w:style w:type="paragraph" w:styleId="FootnoteText">
    <w:name w:val="footnote text"/>
    <w:basedOn w:val="Normal"/>
    <w:link w:val="FootnoteTextChar"/>
    <w:rsid w:val="00F87A76"/>
    <w:pPr>
      <w:spacing w:after="0" w:line="340" w:lineRule="atLeast"/>
      <w:jc w:val="both"/>
    </w:pPr>
    <w:rPr>
      <w:rFonts w:ascii="Times New Roman" w:eastAsia="Times New Roman" w:hAnsi="Times New Roman" w:cs="Times New Roman"/>
      <w:color w:val="000000"/>
      <w:sz w:val="24"/>
      <w:szCs w:val="20"/>
      <w:lang w:eastAsia="de-DE"/>
    </w:rPr>
  </w:style>
  <w:style w:type="character" w:customStyle="1" w:styleId="FootnoteTextChar">
    <w:name w:val="Footnote Text Char"/>
    <w:basedOn w:val="DefaultParagraphFont"/>
    <w:link w:val="FootnoteText"/>
    <w:rsid w:val="00F87A76"/>
    <w:rPr>
      <w:rFonts w:eastAsia="Times New Roman" w:cs="Times New Roman"/>
      <w:color w:val="000000"/>
      <w:kern w:val="0"/>
      <w:sz w:val="24"/>
      <w:lang w:eastAsia="de-DE"/>
    </w:rPr>
  </w:style>
  <w:style w:type="paragraph" w:styleId="List">
    <w:name w:val="List"/>
    <w:basedOn w:val="Normal"/>
    <w:rsid w:val="00F87A76"/>
    <w:pPr>
      <w:spacing w:after="0" w:line="340" w:lineRule="atLeast"/>
      <w:ind w:left="200" w:hangingChars="200" w:hanging="200"/>
      <w:contextualSpacing/>
      <w:jc w:val="both"/>
    </w:pPr>
    <w:rPr>
      <w:rFonts w:ascii="Times New Roman" w:eastAsia="Times New Roman" w:hAnsi="Times New Roman" w:cs="Times New Roman"/>
      <w:color w:val="000000"/>
      <w:sz w:val="24"/>
      <w:szCs w:val="20"/>
      <w:lang w:eastAsia="de-DE"/>
    </w:rPr>
  </w:style>
  <w:style w:type="paragraph" w:styleId="ListBullet">
    <w:name w:val="List Bullet"/>
    <w:basedOn w:val="Normal"/>
    <w:rsid w:val="00F87A76"/>
    <w:pPr>
      <w:tabs>
        <w:tab w:val="num" w:pos="360"/>
      </w:tabs>
      <w:spacing w:after="0" w:line="340" w:lineRule="atLeast"/>
      <w:ind w:left="200" w:hangingChars="200" w:hanging="200"/>
      <w:contextualSpacing/>
      <w:jc w:val="both"/>
    </w:pPr>
    <w:rPr>
      <w:rFonts w:ascii="Times New Roman" w:eastAsia="Times New Roman" w:hAnsi="Times New Roman" w:cs="Times New Roman"/>
      <w:color w:val="000000"/>
      <w:sz w:val="24"/>
      <w:szCs w:val="20"/>
      <w:lang w:eastAsia="de-DE"/>
    </w:rPr>
  </w:style>
  <w:style w:type="paragraph" w:styleId="ListParagraph">
    <w:name w:val="List Paragraph"/>
    <w:basedOn w:val="Normal"/>
    <w:uiPriority w:val="34"/>
    <w:qFormat/>
    <w:rsid w:val="00F87A76"/>
    <w:pPr>
      <w:spacing w:after="0" w:line="340" w:lineRule="atLeast"/>
      <w:ind w:firstLineChars="200" w:firstLine="420"/>
      <w:jc w:val="both"/>
    </w:pPr>
    <w:rPr>
      <w:rFonts w:ascii="Times New Roman" w:eastAsia="Times New Roman" w:hAnsi="Times New Roman" w:cs="Times New Roman"/>
      <w:color w:val="000000"/>
      <w:sz w:val="24"/>
      <w:szCs w:val="20"/>
      <w:lang w:eastAsia="de-DE"/>
    </w:rPr>
  </w:style>
  <w:style w:type="paragraph" w:styleId="BalloonText">
    <w:name w:val="Balloon Text"/>
    <w:basedOn w:val="Normal"/>
    <w:link w:val="BalloonTextChar"/>
    <w:uiPriority w:val="99"/>
    <w:rsid w:val="00F87A76"/>
    <w:pPr>
      <w:spacing w:after="0" w:line="340" w:lineRule="atLeast"/>
      <w:jc w:val="both"/>
    </w:pPr>
    <w:rPr>
      <w:rFonts w:ascii="Times New Roman" w:eastAsia="Times New Roman" w:hAnsi="Times New Roman" w:cs="Tahoma"/>
      <w:color w:val="000000"/>
      <w:sz w:val="18"/>
      <w:szCs w:val="18"/>
      <w:lang w:eastAsia="de-DE"/>
    </w:rPr>
  </w:style>
  <w:style w:type="character" w:customStyle="1" w:styleId="BalloonTextChar">
    <w:name w:val="Balloon Text Char"/>
    <w:basedOn w:val="DefaultParagraphFont"/>
    <w:link w:val="BalloonText"/>
    <w:uiPriority w:val="99"/>
    <w:rsid w:val="00F87A76"/>
    <w:rPr>
      <w:rFonts w:eastAsia="Times New Roman" w:cs="Tahoma"/>
      <w:color w:val="000000"/>
      <w:kern w:val="0"/>
      <w:sz w:val="18"/>
      <w:szCs w:val="18"/>
      <w:lang w:eastAsia="de-DE"/>
    </w:rPr>
  </w:style>
  <w:style w:type="paragraph" w:styleId="CommentText">
    <w:name w:val="annotation text"/>
    <w:basedOn w:val="Normal"/>
    <w:link w:val="CommentTextChar"/>
    <w:rsid w:val="00F87A76"/>
    <w:pPr>
      <w:spacing w:after="0" w:line="340" w:lineRule="atLeast"/>
      <w:jc w:val="both"/>
    </w:pPr>
    <w:rPr>
      <w:rFonts w:ascii="Times New Roman" w:eastAsia="Times New Roman" w:hAnsi="Times New Roman" w:cs="Times New Roman"/>
      <w:color w:val="000000"/>
      <w:sz w:val="24"/>
      <w:szCs w:val="20"/>
      <w:lang w:eastAsia="de-DE"/>
    </w:rPr>
  </w:style>
  <w:style w:type="character" w:customStyle="1" w:styleId="CommentTextChar">
    <w:name w:val="Comment Text Char"/>
    <w:basedOn w:val="DefaultParagraphFont"/>
    <w:link w:val="CommentText"/>
    <w:rsid w:val="00F87A76"/>
    <w:rPr>
      <w:rFonts w:eastAsia="Times New Roman" w:cs="Times New Roman"/>
      <w:color w:val="000000"/>
      <w:kern w:val="0"/>
      <w:sz w:val="24"/>
      <w:lang w:eastAsia="de-DE"/>
    </w:rPr>
  </w:style>
  <w:style w:type="character" w:styleId="CommentReference">
    <w:name w:val="annotation reference"/>
    <w:basedOn w:val="DefaultParagraphFont"/>
    <w:rsid w:val="00F87A76"/>
    <w:rPr>
      <w:sz w:val="21"/>
      <w:szCs w:val="21"/>
    </w:rPr>
  </w:style>
  <w:style w:type="paragraph" w:styleId="CommentSubject">
    <w:name w:val="annotation subject"/>
    <w:basedOn w:val="CommentText"/>
    <w:next w:val="CommentText"/>
    <w:link w:val="CommentSubjectChar"/>
    <w:rsid w:val="00F87A76"/>
    <w:rPr>
      <w:b/>
      <w:bCs/>
    </w:rPr>
  </w:style>
  <w:style w:type="character" w:customStyle="1" w:styleId="CommentSubjectChar">
    <w:name w:val="Comment Subject Char"/>
    <w:basedOn w:val="CommentTextChar"/>
    <w:link w:val="CommentSubject"/>
    <w:rsid w:val="00F87A76"/>
    <w:rPr>
      <w:rFonts w:eastAsia="Times New Roman" w:cs="Times New Roman"/>
      <w:b/>
      <w:bCs/>
      <w:color w:val="000000"/>
      <w:kern w:val="0"/>
      <w:sz w:val="24"/>
      <w:lang w:eastAsia="de-DE"/>
    </w:rPr>
  </w:style>
  <w:style w:type="paragraph" w:styleId="NormalWeb">
    <w:name w:val="Normal (Web)"/>
    <w:basedOn w:val="Normal"/>
    <w:uiPriority w:val="99"/>
    <w:rsid w:val="00F87A76"/>
    <w:pPr>
      <w:spacing w:after="0" w:line="340" w:lineRule="atLeast"/>
      <w:jc w:val="both"/>
    </w:pPr>
    <w:rPr>
      <w:rFonts w:ascii="Times New Roman" w:eastAsia="Times New Roman" w:hAnsi="Times New Roman" w:cs="Times New Roman"/>
      <w:color w:val="000000"/>
      <w:sz w:val="24"/>
      <w:szCs w:val="24"/>
      <w:lang w:eastAsia="de-DE"/>
    </w:rPr>
  </w:style>
  <w:style w:type="paragraph" w:styleId="Bibliography">
    <w:name w:val="Bibliography"/>
    <w:basedOn w:val="Normal"/>
    <w:next w:val="Normal"/>
    <w:uiPriority w:val="37"/>
    <w:semiHidden/>
    <w:unhideWhenUsed/>
    <w:rsid w:val="00F87A76"/>
    <w:pPr>
      <w:spacing w:after="0" w:line="340" w:lineRule="atLeast"/>
      <w:jc w:val="both"/>
    </w:pPr>
    <w:rPr>
      <w:rFonts w:ascii="Times New Roman" w:eastAsia="Times New Roman" w:hAnsi="Times New Roman" w:cs="Times New Roman"/>
      <w:color w:val="000000"/>
      <w:sz w:val="24"/>
      <w:szCs w:val="20"/>
      <w:lang w:eastAsia="de-DE"/>
    </w:rPr>
  </w:style>
  <w:style w:type="paragraph" w:styleId="Caption">
    <w:name w:val="caption"/>
    <w:basedOn w:val="Normal"/>
    <w:next w:val="Normal"/>
    <w:qFormat/>
    <w:rsid w:val="00F87A76"/>
    <w:pPr>
      <w:spacing w:after="0" w:line="340" w:lineRule="atLeast"/>
      <w:ind w:left="850" w:hanging="850"/>
      <w:jc w:val="center"/>
    </w:pPr>
    <w:rPr>
      <w:rFonts w:ascii="Times New Roman" w:eastAsia="Times New Roman" w:hAnsi="Times New Roman" w:cs="Times New Roman"/>
      <w:b/>
      <w:bCs/>
      <w:color w:val="000000"/>
      <w:sz w:val="24"/>
      <w:szCs w:val="24"/>
    </w:rPr>
  </w:style>
  <w:style w:type="paragraph" w:styleId="TableofFigures">
    <w:name w:val="table of figures"/>
    <w:basedOn w:val="Normal"/>
    <w:next w:val="Normal"/>
    <w:rsid w:val="00F87A76"/>
    <w:pPr>
      <w:tabs>
        <w:tab w:val="left" w:pos="374"/>
      </w:tabs>
      <w:snapToGrid w:val="0"/>
      <w:spacing w:after="0" w:line="220" w:lineRule="exact"/>
      <w:jc w:val="both"/>
    </w:pPr>
    <w:rPr>
      <w:rFonts w:ascii="Times New Roman" w:eastAsia="Times New Roman" w:hAnsi="Times New Roman" w:cs="Times New Roman"/>
      <w:color w:val="000000"/>
      <w:sz w:val="16"/>
      <w:szCs w:val="16"/>
      <w:lang w:eastAsia="de-DE"/>
    </w:rPr>
  </w:style>
  <w:style w:type="table" w:styleId="TableGrid">
    <w:name w:val="Table Grid"/>
    <w:basedOn w:val="TableNormal"/>
    <w:uiPriority w:val="59"/>
    <w:rsid w:val="00F87A76"/>
    <w:rPr>
      <w:rFonts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rsid w:val="00F87A76"/>
    <w:pPr>
      <w:spacing w:after="0" w:line="360" w:lineRule="auto"/>
      <w:jc w:val="both"/>
    </w:pPr>
    <w:rPr>
      <w:rFonts w:ascii="Times New Roman" w:eastAsia="Times New Roman" w:hAnsi="Times New Roman" w:cs="Times New Roman"/>
      <w:color w:val="000000"/>
      <w:sz w:val="24"/>
      <w:szCs w:val="24"/>
      <w:lang w:val="en-GB" w:eastAsia="ar-SA"/>
    </w:rPr>
  </w:style>
  <w:style w:type="character" w:customStyle="1" w:styleId="EndnoteTextChar">
    <w:name w:val="Endnote Text Char"/>
    <w:basedOn w:val="DefaultParagraphFont"/>
    <w:link w:val="EndnoteText"/>
    <w:rsid w:val="00F87A76"/>
    <w:rPr>
      <w:rFonts w:eastAsia="Times New Roman" w:cs="Times New Roman"/>
      <w:color w:val="000000"/>
      <w:kern w:val="0"/>
      <w:sz w:val="24"/>
      <w:szCs w:val="24"/>
      <w:lang w:val="en-GB" w:eastAsia="ar-SA"/>
    </w:rPr>
  </w:style>
  <w:style w:type="character" w:styleId="EndnoteReference">
    <w:name w:val="endnote reference"/>
    <w:basedOn w:val="DefaultParagraphFont"/>
    <w:rsid w:val="00F87A76"/>
    <w:rPr>
      <w:vertAlign w:val="superscript"/>
    </w:rPr>
  </w:style>
  <w:style w:type="paragraph" w:styleId="Footer">
    <w:name w:val="footer"/>
    <w:basedOn w:val="Normal"/>
    <w:link w:val="FooterChar"/>
    <w:uiPriority w:val="99"/>
    <w:rsid w:val="00F87A76"/>
    <w:pPr>
      <w:tabs>
        <w:tab w:val="center" w:pos="4153"/>
        <w:tab w:val="right" w:pos="8306"/>
      </w:tabs>
      <w:snapToGrid w:val="0"/>
      <w:spacing w:after="0" w:line="240" w:lineRule="atLeast"/>
      <w:jc w:val="both"/>
    </w:pPr>
    <w:rPr>
      <w:rFonts w:ascii="Times New Roman" w:eastAsia="Times New Roman" w:hAnsi="Times New Roman" w:cs="Times New Roman"/>
      <w:color w:val="000000"/>
      <w:sz w:val="18"/>
      <w:szCs w:val="18"/>
      <w:lang w:eastAsia="de-DE"/>
    </w:rPr>
  </w:style>
  <w:style w:type="character" w:customStyle="1" w:styleId="FooterChar">
    <w:name w:val="Footer Char"/>
    <w:basedOn w:val="DefaultParagraphFont"/>
    <w:link w:val="Footer"/>
    <w:uiPriority w:val="99"/>
    <w:rsid w:val="00F87A76"/>
    <w:rPr>
      <w:rFonts w:eastAsia="Times New Roman" w:cs="Times New Roman"/>
      <w:color w:val="000000"/>
      <w:kern w:val="0"/>
      <w:sz w:val="18"/>
      <w:szCs w:val="18"/>
      <w:lang w:eastAsia="de-DE"/>
    </w:rPr>
  </w:style>
  <w:style w:type="character" w:styleId="PageNumber">
    <w:name w:val="page number"/>
    <w:basedOn w:val="DefaultParagraphFont"/>
    <w:rsid w:val="00F87A76"/>
  </w:style>
  <w:style w:type="paragraph" w:styleId="Header">
    <w:name w:val="header"/>
    <w:basedOn w:val="Normal"/>
    <w:link w:val="HeaderChar"/>
    <w:uiPriority w:val="99"/>
    <w:rsid w:val="00F87A76"/>
    <w:pPr>
      <w:pBdr>
        <w:bottom w:val="single" w:sz="6" w:space="1" w:color="auto"/>
      </w:pBdr>
      <w:tabs>
        <w:tab w:val="center" w:pos="4153"/>
        <w:tab w:val="right" w:pos="8306"/>
      </w:tabs>
      <w:snapToGrid w:val="0"/>
      <w:spacing w:after="0" w:line="240" w:lineRule="atLeast"/>
      <w:jc w:val="center"/>
    </w:pPr>
    <w:rPr>
      <w:rFonts w:ascii="Times New Roman" w:eastAsia="Times New Roman" w:hAnsi="Times New Roman" w:cs="Times New Roman"/>
      <w:color w:val="000000"/>
      <w:sz w:val="18"/>
      <w:szCs w:val="18"/>
      <w:lang w:eastAsia="de-DE"/>
    </w:rPr>
  </w:style>
  <w:style w:type="character" w:customStyle="1" w:styleId="HeaderChar">
    <w:name w:val="Header Char"/>
    <w:basedOn w:val="DefaultParagraphFont"/>
    <w:link w:val="Header"/>
    <w:uiPriority w:val="99"/>
    <w:rsid w:val="00F87A76"/>
    <w:rPr>
      <w:rFonts w:eastAsia="Times New Roman" w:cs="Times New Roman"/>
      <w:color w:val="000000"/>
      <w:kern w:val="0"/>
      <w:sz w:val="18"/>
      <w:szCs w:val="18"/>
      <w:lang w:eastAsia="de-DE"/>
    </w:rPr>
  </w:style>
  <w:style w:type="paragraph" w:styleId="BodyText">
    <w:name w:val="Body Text"/>
    <w:link w:val="BodyTextChar"/>
    <w:rsid w:val="00F87A76"/>
    <w:pPr>
      <w:spacing w:after="120" w:line="340" w:lineRule="atLeast"/>
      <w:jc w:val="both"/>
    </w:pPr>
    <w:rPr>
      <w:rFonts w:cs="Times New Roman"/>
      <w:color w:val="000000"/>
      <w:kern w:val="0"/>
      <w:sz w:val="24"/>
      <w:lang w:eastAsia="de-DE"/>
    </w:rPr>
  </w:style>
  <w:style w:type="character" w:customStyle="1" w:styleId="BodyTextChar">
    <w:name w:val="Body Text Char"/>
    <w:basedOn w:val="DefaultParagraphFont"/>
    <w:link w:val="BodyText"/>
    <w:rsid w:val="00F87A76"/>
    <w:rPr>
      <w:rFonts w:cs="Times New Roman"/>
      <w:color w:val="000000"/>
      <w:kern w:val="0"/>
      <w:sz w:val="24"/>
      <w:lang w:eastAsia="de-DE"/>
    </w:rPr>
  </w:style>
  <w:style w:type="paragraph" w:customStyle="1" w:styleId="Mdeck4text2nd">
    <w:name w:val="M_deck_4_text_2nd"/>
    <w:qFormat/>
    <w:rsid w:val="00E315BB"/>
    <w:pPr>
      <w:adjustRightInd w:val="0"/>
      <w:snapToGrid w:val="0"/>
      <w:spacing w:line="260" w:lineRule="atLeast"/>
      <w:ind w:left="850" w:hanging="425"/>
      <w:jc w:val="both"/>
    </w:pPr>
    <w:rPr>
      <w:rFonts w:ascii="Palatino Linotype" w:eastAsia="Times New Roman" w:hAnsi="Palatino Linotype"/>
      <w:snapToGrid w:val="0"/>
      <w:color w:val="000000"/>
      <w:kern w:val="0"/>
      <w:lang w:eastAsia="de-DE" w:bidi="en-US"/>
    </w:rPr>
  </w:style>
  <w:style w:type="character" w:styleId="PlaceholderText">
    <w:name w:val="Placeholder Text"/>
    <w:basedOn w:val="DefaultParagraphFont"/>
    <w:uiPriority w:val="99"/>
    <w:semiHidden/>
    <w:rsid w:val="00F87A76"/>
    <w:rPr>
      <w:color w:val="808080"/>
    </w:rPr>
  </w:style>
  <w:style w:type="paragraph" w:customStyle="1" w:styleId="MDPIheadercitation">
    <w:name w:val="MDPI_header_citation"/>
    <w:basedOn w:val="MDPI62Acknowledgments"/>
    <w:rsid w:val="002220D5"/>
    <w:pPr>
      <w:spacing w:before="0" w:after="240" w:line="240" w:lineRule="auto"/>
      <w:jc w:val="left"/>
    </w:pPr>
  </w:style>
  <w:style w:type="paragraph" w:customStyle="1" w:styleId="MDPIheaderjournallogo">
    <w:name w:val="MDPI_header_journal_logo"/>
    <w:qFormat/>
    <w:rsid w:val="003B4E63"/>
    <w:pPr>
      <w:adjustRightInd w:val="0"/>
      <w:snapToGrid w:val="0"/>
    </w:pPr>
    <w:rPr>
      <w:rFonts w:ascii="Palatino Linotype" w:eastAsia="Times New Roman" w:hAnsi="Palatino Linotype" w:cs="Times New Roman"/>
      <w:i/>
      <w:color w:val="000000"/>
      <w:kern w:val="0"/>
      <w:sz w:val="24"/>
      <w:szCs w:val="22"/>
      <w:lang w:eastAsia="de-CH"/>
    </w:rPr>
  </w:style>
  <w:style w:type="paragraph" w:customStyle="1" w:styleId="Mfooter">
    <w:name w:val="M_footer"/>
    <w:qFormat/>
    <w:rsid w:val="00F87A76"/>
    <w:pPr>
      <w:spacing w:before="120"/>
      <w:jc w:val="center"/>
    </w:pPr>
    <w:rPr>
      <w:rFonts w:ascii="Minion Pro" w:eastAsiaTheme="minorEastAsia" w:hAnsi="Minion Pro" w:cs="Times New Roman"/>
      <w:color w:val="000000"/>
      <w:kern w:val="0"/>
      <w:sz w:val="24"/>
      <w:lang w:val="de-DE"/>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eastAsiaTheme="minorEastAsia" w:hAnsi="Minion Pro" w:cs="Times New Roman"/>
      <w:color w:val="000000"/>
      <w:kern w:val="0"/>
      <w:sz w:val="24"/>
      <w:lang w:val="de-DE"/>
    </w:rPr>
  </w:style>
  <w:style w:type="paragraph" w:customStyle="1" w:styleId="MAcknowledgments">
    <w:name w:val="M_Acknowledgments"/>
    <w:qFormat/>
    <w:rsid w:val="00554334"/>
    <w:pPr>
      <w:spacing w:after="120" w:line="240" w:lineRule="atLeast"/>
      <w:jc w:val="both"/>
    </w:pPr>
    <w:rPr>
      <w:rFonts w:ascii="Minion Pro" w:eastAsiaTheme="minorEastAsia" w:hAnsi="Minion Pro" w:cs="Times New Roman"/>
      <w:color w:val="000000"/>
      <w:kern w:val="0"/>
      <w:sz w:val="24"/>
      <w:lang w:val="de-DE"/>
    </w:rPr>
  </w:style>
  <w:style w:type="paragraph" w:customStyle="1" w:styleId="MDPI32textnoindent">
    <w:name w:val="MDPI_3.2_text_no_indent"/>
    <w:basedOn w:val="MDPI31text"/>
    <w:qFormat/>
    <w:rsid w:val="00B65A10"/>
    <w:pPr>
      <w:ind w:firstLine="0"/>
    </w:pPr>
  </w:style>
  <w:style w:type="paragraph" w:customStyle="1" w:styleId="MDPI33textspaceafter">
    <w:name w:val="MDPI_3.3_text_space_after"/>
    <w:basedOn w:val="MDPI31text"/>
    <w:qFormat/>
    <w:rsid w:val="00B65A10"/>
    <w:pPr>
      <w:spacing w:after="240"/>
    </w:pPr>
  </w:style>
  <w:style w:type="paragraph" w:customStyle="1" w:styleId="MDPI34textspacebefore">
    <w:name w:val="MDPI_3.4_text_space_before"/>
    <w:basedOn w:val="MDPI31text"/>
    <w:qFormat/>
    <w:rsid w:val="00B65A10"/>
    <w:pPr>
      <w:spacing w:before="240"/>
    </w:pPr>
  </w:style>
  <w:style w:type="paragraph" w:customStyle="1" w:styleId="MDPI35textbeforelist">
    <w:name w:val="MDPI_3.5_text_before_list"/>
    <w:basedOn w:val="MDPI31text"/>
    <w:qFormat/>
    <w:rsid w:val="00B65A10"/>
    <w:pPr>
      <w:spacing w:after="120"/>
    </w:pPr>
  </w:style>
  <w:style w:type="paragraph" w:customStyle="1" w:styleId="MDPI36textafterlist">
    <w:name w:val="MDPI_3.6_text_after_list"/>
    <w:basedOn w:val="MDPI31text"/>
    <w:qFormat/>
    <w:rsid w:val="00B65A10"/>
    <w:pPr>
      <w:spacing w:before="120"/>
    </w:pPr>
  </w:style>
  <w:style w:type="paragraph" w:customStyle="1" w:styleId="MDPI37itemize">
    <w:name w:val="MDPI_3.7_itemize"/>
    <w:basedOn w:val="MDPI31text"/>
    <w:qFormat/>
    <w:rsid w:val="000A45A9"/>
    <w:pPr>
      <w:numPr>
        <w:numId w:val="1"/>
      </w:numPr>
      <w:ind w:left="425" w:hanging="425"/>
    </w:pPr>
  </w:style>
  <w:style w:type="paragraph" w:customStyle="1" w:styleId="MDPI38bullet">
    <w:name w:val="MDPI_3.8_bullet"/>
    <w:basedOn w:val="MDPI31text"/>
    <w:qFormat/>
    <w:rsid w:val="00B83B50"/>
    <w:pPr>
      <w:numPr>
        <w:numId w:val="2"/>
      </w:numPr>
      <w:ind w:left="425" w:hanging="425"/>
    </w:pPr>
  </w:style>
  <w:style w:type="paragraph" w:customStyle="1" w:styleId="MDPI39equation">
    <w:name w:val="MDPI_3.9_equation"/>
    <w:basedOn w:val="MDPI31text"/>
    <w:qFormat/>
    <w:rsid w:val="00B65A10"/>
    <w:pPr>
      <w:spacing w:before="120" w:after="120"/>
      <w:ind w:left="709" w:firstLine="0"/>
      <w:jc w:val="center"/>
    </w:pPr>
  </w:style>
  <w:style w:type="paragraph" w:customStyle="1" w:styleId="MDPI3aequationnumber">
    <w:name w:val="MDPI_3.a_equation_number"/>
    <w:basedOn w:val="MDPI31text"/>
    <w:qFormat/>
    <w:rsid w:val="000F4E0E"/>
    <w:pPr>
      <w:spacing w:before="120" w:after="120" w:line="240" w:lineRule="auto"/>
      <w:ind w:firstLine="0"/>
      <w:jc w:val="right"/>
    </w:pPr>
  </w:style>
  <w:style w:type="paragraph" w:customStyle="1" w:styleId="MDPI62Acknowledgments">
    <w:name w:val="MDPI_6.2_Acknowledgments"/>
    <w:qFormat/>
    <w:rsid w:val="003B4E63"/>
    <w:pPr>
      <w:adjustRightInd w:val="0"/>
      <w:snapToGrid w:val="0"/>
      <w:spacing w:before="120" w:line="200" w:lineRule="atLeast"/>
      <w:jc w:val="both"/>
    </w:pPr>
    <w:rPr>
      <w:rFonts w:ascii="Palatino Linotype" w:eastAsia="Times New Roman" w:hAnsi="Palatino Linotype" w:cs="Times New Roman"/>
      <w:snapToGrid w:val="0"/>
      <w:color w:val="000000"/>
      <w:kern w:val="0"/>
      <w:sz w:val="18"/>
      <w:lang w:eastAsia="de-DE" w:bidi="en-US"/>
    </w:rPr>
  </w:style>
  <w:style w:type="paragraph" w:customStyle="1" w:styleId="MDPI41tablecaption">
    <w:name w:val="MDPI_4.1_table_caption"/>
    <w:basedOn w:val="MDPI62Acknowledgments"/>
    <w:qFormat/>
    <w:rsid w:val="00DB75FF"/>
    <w:pPr>
      <w:spacing w:before="240" w:after="120" w:line="260" w:lineRule="atLeast"/>
      <w:ind w:left="425" w:right="425"/>
    </w:pPr>
    <w:rPr>
      <w:rFonts w:cstheme="minorBidi"/>
      <w:snapToGrid/>
      <w:szCs w:val="22"/>
    </w:rPr>
  </w:style>
  <w:style w:type="paragraph" w:customStyle="1" w:styleId="MDPI42tablebody">
    <w:name w:val="MDPI_4.2_table_body"/>
    <w:qFormat/>
    <w:rsid w:val="003B4E63"/>
    <w:pPr>
      <w:adjustRightInd w:val="0"/>
      <w:snapToGrid w:val="0"/>
    </w:pPr>
    <w:rPr>
      <w:rFonts w:ascii="Palatino Linotype" w:eastAsia="Times New Roman" w:hAnsi="Palatino Linotype"/>
      <w:snapToGrid w:val="0"/>
      <w:color w:val="000000"/>
      <w:kern w:val="0"/>
      <w:lang w:eastAsia="de-DE" w:bidi="en-US"/>
    </w:rPr>
  </w:style>
  <w:style w:type="paragraph" w:customStyle="1" w:styleId="MDPI43tablefooter">
    <w:name w:val="MDPI_4.3_table_footer"/>
    <w:basedOn w:val="MDPI41tablecaption"/>
    <w:next w:val="MDPI31text"/>
    <w:qFormat/>
    <w:rsid w:val="00B65A10"/>
    <w:pPr>
      <w:spacing w:before="0"/>
      <w:ind w:left="0" w:right="0"/>
    </w:pPr>
  </w:style>
  <w:style w:type="paragraph" w:customStyle="1" w:styleId="MDPI51figurecaption">
    <w:name w:val="MDPI_5.1_figure_caption"/>
    <w:basedOn w:val="MDPI62Acknowledgments"/>
    <w:qFormat/>
    <w:rsid w:val="003B4E63"/>
    <w:pPr>
      <w:spacing w:after="240" w:line="260" w:lineRule="atLeast"/>
      <w:ind w:left="425" w:right="425"/>
    </w:pPr>
    <w:rPr>
      <w:snapToGrid/>
    </w:rPr>
  </w:style>
  <w:style w:type="paragraph" w:customStyle="1" w:styleId="MDPI52figure">
    <w:name w:val="MDPI_5.2_figure"/>
    <w:qFormat/>
    <w:rsid w:val="00B65A10"/>
    <w:pPr>
      <w:jc w:val="center"/>
    </w:pPr>
    <w:rPr>
      <w:rFonts w:ascii="Palatino Linotype" w:eastAsia="Times New Roman" w:hAnsi="Palatino Linotype"/>
      <w:snapToGrid w:val="0"/>
      <w:color w:val="000000"/>
      <w:kern w:val="0"/>
      <w:sz w:val="24"/>
      <w:lang w:eastAsia="de-DE" w:bidi="en-US"/>
    </w:rPr>
  </w:style>
  <w:style w:type="paragraph" w:customStyle="1" w:styleId="MDPI61Supplementary">
    <w:name w:val="MDPI_6.1_Supplementary"/>
    <w:basedOn w:val="MDPI62Acknowledgments"/>
    <w:qFormat/>
    <w:rsid w:val="00B65A10"/>
    <w:pPr>
      <w:spacing w:before="240"/>
    </w:pPr>
    <w:rPr>
      <w:lang w:eastAsia="en-US"/>
    </w:rPr>
  </w:style>
  <w:style w:type="paragraph" w:customStyle="1" w:styleId="MDPI63AuthorContributions">
    <w:name w:val="MDPI_6.3_AuthorContributions"/>
    <w:basedOn w:val="MDPI62Acknowledgments"/>
    <w:qFormat/>
    <w:rsid w:val="00B65A10"/>
    <w:rPr>
      <w:rFonts w:eastAsia="宋体"/>
      <w:color w:val="auto"/>
      <w:lang w:eastAsia="en-US"/>
    </w:rPr>
  </w:style>
  <w:style w:type="paragraph" w:customStyle="1" w:styleId="MDPI64CoI">
    <w:name w:val="MDPI_6.4_CoI"/>
    <w:basedOn w:val="MDPI62Acknowledgments"/>
    <w:qFormat/>
    <w:rsid w:val="00B65A10"/>
  </w:style>
  <w:style w:type="paragraph" w:customStyle="1" w:styleId="MDPI72Copyright">
    <w:name w:val="MDPI_7.2_Copyright"/>
    <w:basedOn w:val="MDPI71References"/>
    <w:qFormat/>
    <w:rsid w:val="00CE10A1"/>
    <w:pPr>
      <w:numPr>
        <w:numId w:val="0"/>
      </w:numPr>
      <w:spacing w:before="400"/>
    </w:pPr>
    <w:rPr>
      <w:noProof/>
      <w:spacing w:val="-2"/>
      <w:lang w:val="en-GB" w:eastAsia="en-GB" w:bidi="ar-SA"/>
    </w:rPr>
  </w:style>
  <w:style w:type="paragraph" w:customStyle="1" w:styleId="MDPI73CopyrightImage">
    <w:name w:val="MDPI_7.3_CopyrightImage"/>
    <w:rsid w:val="003B4E63"/>
    <w:pPr>
      <w:adjustRightInd w:val="0"/>
      <w:snapToGrid w:val="0"/>
      <w:spacing w:after="100"/>
      <w:jc w:val="right"/>
    </w:pPr>
    <w:rPr>
      <w:rFonts w:eastAsia="Times New Roman" w:cs="Times New Roman"/>
      <w:color w:val="000000"/>
      <w:kern w:val="0"/>
      <w:lang w:eastAsia="de-CH"/>
    </w:rPr>
  </w:style>
  <w:style w:type="paragraph" w:customStyle="1" w:styleId="MDPI81theorem">
    <w:name w:val="MDPI_8.1_theorem"/>
    <w:basedOn w:val="MDPI32textnoindent"/>
    <w:qFormat/>
    <w:rsid w:val="00B65A10"/>
    <w:rPr>
      <w:i/>
    </w:rPr>
  </w:style>
  <w:style w:type="paragraph" w:customStyle="1" w:styleId="MDPI82proof">
    <w:name w:val="MDPI_8.2_proof"/>
    <w:basedOn w:val="MDPI32textnoindent"/>
    <w:qFormat/>
    <w:rsid w:val="00CF28B7"/>
  </w:style>
  <w:style w:type="paragraph" w:customStyle="1" w:styleId="MDPIfooter">
    <w:name w:val="MDPI_footer"/>
    <w:qFormat/>
    <w:rsid w:val="003B4E63"/>
    <w:pPr>
      <w:adjustRightInd w:val="0"/>
      <w:snapToGrid w:val="0"/>
      <w:spacing w:before="120"/>
      <w:jc w:val="center"/>
    </w:pPr>
    <w:rPr>
      <w:rFonts w:ascii="Palatino Linotype" w:eastAsia="Times New Roman" w:hAnsi="Palatino Linotype" w:cs="Times New Roman"/>
      <w:kern w:val="0"/>
      <w:lang w:eastAsia="de-DE"/>
    </w:rPr>
  </w:style>
  <w:style w:type="paragraph" w:customStyle="1" w:styleId="MDPIfooterfirstpage">
    <w:name w:val="MDPI_footer_firstpage"/>
    <w:basedOn w:val="MDPIfooter"/>
    <w:qFormat/>
    <w:rsid w:val="002220D5"/>
    <w:pPr>
      <w:tabs>
        <w:tab w:val="right" w:pos="8845"/>
      </w:tabs>
      <w:spacing w:line="160" w:lineRule="exact"/>
      <w:jc w:val="left"/>
    </w:pPr>
    <w:rPr>
      <w:sz w:val="16"/>
    </w:rPr>
  </w:style>
  <w:style w:type="paragraph" w:customStyle="1" w:styleId="MDPI31text">
    <w:name w:val="MDPI_3.1_text"/>
    <w:qFormat/>
    <w:rsid w:val="003B4E63"/>
    <w:pPr>
      <w:adjustRightInd w:val="0"/>
      <w:snapToGrid w:val="0"/>
      <w:spacing w:line="260" w:lineRule="atLeast"/>
      <w:ind w:firstLine="425"/>
      <w:jc w:val="both"/>
    </w:pPr>
    <w:rPr>
      <w:rFonts w:ascii="Palatino Linotype" w:eastAsia="Times New Roman" w:hAnsi="Palatino Linotype" w:cs="Times New Roman"/>
      <w:snapToGrid w:val="0"/>
      <w:color w:val="000000"/>
      <w:kern w:val="0"/>
      <w:szCs w:val="22"/>
      <w:lang w:eastAsia="de-DE" w:bidi="en-US"/>
    </w:rPr>
  </w:style>
  <w:style w:type="paragraph" w:customStyle="1" w:styleId="MDPI23heading3">
    <w:name w:val="MDPI_2.3_heading3"/>
    <w:basedOn w:val="MDPI31text"/>
    <w:qFormat/>
    <w:rsid w:val="004B664F"/>
    <w:pPr>
      <w:spacing w:before="240" w:after="120"/>
      <w:ind w:firstLine="0"/>
      <w:jc w:val="left"/>
      <w:outlineLvl w:val="2"/>
    </w:pPr>
  </w:style>
  <w:style w:type="paragraph" w:customStyle="1" w:styleId="MDPI21heading1">
    <w:name w:val="MDPI_2.1_heading1"/>
    <w:basedOn w:val="MDPI23heading3"/>
    <w:qFormat/>
    <w:rsid w:val="004B664F"/>
    <w:pPr>
      <w:outlineLvl w:val="0"/>
    </w:pPr>
    <w:rPr>
      <w:b/>
    </w:rPr>
  </w:style>
  <w:style w:type="paragraph" w:customStyle="1" w:styleId="MDPI22heading2">
    <w:name w:val="MDPI_2.2_heading2"/>
    <w:basedOn w:val="MDPItext"/>
    <w:qFormat/>
    <w:rsid w:val="004B664F"/>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4C71C5"/>
    <w:pPr>
      <w:numPr>
        <w:numId w:val="3"/>
      </w:numPr>
      <w:spacing w:before="0" w:line="260" w:lineRule="atLeast"/>
      <w:ind w:left="425" w:hanging="425"/>
    </w:pPr>
  </w:style>
  <w:style w:type="paragraph" w:customStyle="1" w:styleId="MDPIheadermdpilogo">
    <w:name w:val="MDPI_header_mdpi_logo"/>
    <w:qFormat/>
    <w:rsid w:val="003B4E63"/>
    <w:pPr>
      <w:adjustRightInd w:val="0"/>
      <w:snapToGrid w:val="0"/>
      <w:jc w:val="right"/>
    </w:pPr>
    <w:rPr>
      <w:rFonts w:ascii="Palatino Linotype" w:eastAsia="Times New Roman" w:hAnsi="Palatino Linotype" w:cs="Times New Roman"/>
      <w:color w:val="000000"/>
      <w:kern w:val="0"/>
      <w:sz w:val="24"/>
      <w:szCs w:val="22"/>
      <w:lang w:eastAsia="de-CH"/>
    </w:rPr>
  </w:style>
  <w:style w:type="paragraph" w:customStyle="1" w:styleId="MDPI411onetablecaption">
    <w:name w:val="MDPI_4.1.1_one_table_caption"/>
    <w:basedOn w:val="Normal"/>
    <w:qFormat/>
    <w:rsid w:val="009136F9"/>
    <w:pPr>
      <w:adjustRightInd w:val="0"/>
      <w:snapToGrid w:val="0"/>
      <w:spacing w:before="120" w:after="240" w:line="260" w:lineRule="atLeast"/>
      <w:jc w:val="center"/>
    </w:pPr>
    <w:rPr>
      <w:rFonts w:ascii="Palatino Linotype" w:eastAsia="Times New Roman" w:hAnsi="Palatino Linotype"/>
      <w:color w:val="000000"/>
      <w:sz w:val="18"/>
      <w:lang w:eastAsia="de-DE" w:bidi="en-US"/>
    </w:rPr>
  </w:style>
  <w:style w:type="paragraph" w:customStyle="1" w:styleId="MDPI511onefigurecaption">
    <w:name w:val="MDPI_5.1.1_one_figure_caption"/>
    <w:basedOn w:val="Normal"/>
    <w:qFormat/>
    <w:rsid w:val="009136F9"/>
    <w:pPr>
      <w:adjustRightInd w:val="0"/>
      <w:snapToGrid w:val="0"/>
      <w:spacing w:before="120" w:after="240" w:line="260" w:lineRule="atLeast"/>
      <w:jc w:val="center"/>
    </w:pPr>
    <w:rPr>
      <w:rFonts w:ascii="Palatino Linotype" w:eastAsia="Times New Roman" w:hAnsi="Palatino Linotype" w:cs="Times New Roman"/>
      <w:color w:val="000000"/>
      <w:sz w:val="18"/>
      <w:szCs w:val="20"/>
      <w:lang w:eastAsia="de-DE" w:bidi="en-US"/>
    </w:rPr>
  </w:style>
  <w:style w:type="paragraph" w:customStyle="1" w:styleId="MDPItext">
    <w:name w:val="MDPI_text"/>
    <w:basedOn w:val="Mdeck4text"/>
    <w:qFormat/>
    <w:rsid w:val="006C7D91"/>
    <w:pPr>
      <w:ind w:left="425" w:right="425"/>
    </w:pPr>
    <w:rPr>
      <w:rFonts w:cs="Times New Roman"/>
      <w:noProof/>
      <w:sz w:val="22"/>
      <w:szCs w:val="22"/>
    </w:rPr>
  </w:style>
  <w:style w:type="paragraph" w:customStyle="1" w:styleId="MDPItitle">
    <w:name w:val="MDPI_title"/>
    <w:qFormat/>
    <w:rsid w:val="003B4E63"/>
    <w:pPr>
      <w:adjustRightInd w:val="0"/>
      <w:snapToGrid w:val="0"/>
      <w:spacing w:after="240"/>
    </w:pPr>
    <w:rPr>
      <w:rFonts w:eastAsia="Times New Roman" w:cs="Times New Roman"/>
      <w:b/>
      <w:snapToGrid w:val="0"/>
      <w:color w:val="000000"/>
      <w:kern w:val="0"/>
      <w:sz w:val="36"/>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487197">
      <w:bodyDiv w:val="1"/>
      <w:marLeft w:val="0"/>
      <w:marRight w:val="0"/>
      <w:marTop w:val="0"/>
      <w:marBottom w:val="0"/>
      <w:divBdr>
        <w:top w:val="none" w:sz="0" w:space="0" w:color="auto"/>
        <w:left w:val="none" w:sz="0" w:space="0" w:color="auto"/>
        <w:bottom w:val="none" w:sz="0" w:space="0" w:color="auto"/>
        <w:right w:val="none" w:sz="0" w:space="0" w:color="auto"/>
      </w:divBdr>
    </w:div>
    <w:div w:id="129625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anuscript\Accept\symmetry-196870\revised\symmetry-196870-supplementary\SOM\symmetry-template.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681EC-57AB-452D-8FCE-C0A2CB396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symmetry-template</Template>
  <TotalTime>18</TotalTime>
  <Pages>1</Pages>
  <Words>3602</Words>
  <Characters>19418</Characters>
  <Application>Microsoft Office Word</Application>
  <DocSecurity>0</DocSecurity>
  <Lines>373</Lines>
  <Paragraphs>213</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22807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Windows User</cp:lastModifiedBy>
  <cp:revision>2</cp:revision>
  <dcterms:created xsi:type="dcterms:W3CDTF">2017-06-21T08:39:00Z</dcterms:created>
  <dcterms:modified xsi:type="dcterms:W3CDTF">2017-06-21T08:57:00Z</dcterms:modified>
</cp:coreProperties>
</file>