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DA43DC" w14:textId="12335CB6" w:rsidR="003A55A8" w:rsidRPr="00CE6FCA" w:rsidRDefault="00672C04" w:rsidP="003A55A8">
      <w:pPr>
        <w:pStyle w:val="MDPI12title"/>
        <w:spacing w:line="240" w:lineRule="atLeast"/>
      </w:pPr>
      <w:r w:rsidRPr="00CE6FCA">
        <w:rPr>
          <w:color w:val="auto"/>
          <w:szCs w:val="36"/>
        </w:rPr>
        <w:t>Supplementary</w:t>
      </w:r>
      <w:r w:rsidRPr="00CE6FCA">
        <w:rPr>
          <w:color w:val="auto"/>
          <w:spacing w:val="-42"/>
          <w:szCs w:val="36"/>
        </w:rPr>
        <w:t xml:space="preserve"> </w:t>
      </w:r>
      <w:r w:rsidRPr="00CE6FCA">
        <w:rPr>
          <w:color w:val="auto"/>
          <w:szCs w:val="36"/>
        </w:rPr>
        <w:t xml:space="preserve">Materials: </w:t>
      </w:r>
      <w:r w:rsidR="00CE6FCA" w:rsidRPr="00CE6FCA">
        <w:t>Arsenic Trioxide and (</w:t>
      </w:r>
      <w:r w:rsidR="001A79BA">
        <w:t>−</w:t>
      </w:r>
      <w:r w:rsidR="00CE6FCA" w:rsidRPr="00CE6FCA">
        <w:t>)-Gossypol Synergistically Target Glioma Stem-Like Cells Via Inhibition of Hedgehog and Notch Signaling</w:t>
      </w:r>
    </w:p>
    <w:p w14:paraId="2C8FDA34" w14:textId="45C0187F" w:rsidR="00672C04" w:rsidRPr="00CE6FCA" w:rsidRDefault="00CE6FCA" w:rsidP="00672C04">
      <w:pPr>
        <w:pStyle w:val="MDPI14history"/>
        <w:rPr>
          <w:lang w:val="de-DE"/>
        </w:rPr>
      </w:pPr>
      <w:r w:rsidRPr="00CE6FCA">
        <w:rPr>
          <w:b/>
          <w:sz w:val="20"/>
          <w:szCs w:val="22"/>
          <w:lang w:val="de-DE"/>
        </w:rPr>
        <w:t>Benedikt Linder, Andrej Wehle, Stephanie Hehlgans, Florian Bonn, Ivan Dikic, Franz Rödel, Volker Seifert and Donat Kögel</w:t>
      </w:r>
    </w:p>
    <w:p w14:paraId="436D0431" w14:textId="77777777" w:rsidR="00CE6FCA" w:rsidRPr="00CE6FCA" w:rsidRDefault="00CE6FCA" w:rsidP="00CE6FCA">
      <w:pPr>
        <w:pStyle w:val="MDPI52figure"/>
      </w:pPr>
      <w:r w:rsidRPr="00CE6FCA">
        <w:rPr>
          <w:noProof/>
          <w:snapToGrid/>
          <w:lang w:val="de-DE" w:bidi="ar-SA"/>
        </w:rPr>
        <w:drawing>
          <wp:inline distT="0" distB="0" distL="0" distR="0" wp14:anchorId="56E631ED" wp14:editId="58162A09">
            <wp:extent cx="5748793" cy="3424660"/>
            <wp:effectExtent l="0" t="0" r="4445" b="4445"/>
            <wp:docPr id="10" name="Grafik 10" descr="U:\01_Projekte\02_Targeting Glioma-stem-like cells (GANT_ATO+Gos)\02_Manuskripte\2018_19\final_submission_05_Cancers\Revision\Figure S1_R1_Cancer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01_Projekte\02_Targeting Glioma-stem-like cells (GANT_ATO+Gos)\02_Manuskripte\2018_19\final_submission_05_Cancers\Revision\Figure S1_R1_Cancers.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48906" cy="3424727"/>
                    </a:xfrm>
                    <a:prstGeom prst="rect">
                      <a:avLst/>
                    </a:prstGeom>
                    <a:noFill/>
                    <a:ln>
                      <a:noFill/>
                    </a:ln>
                  </pic:spPr>
                </pic:pic>
              </a:graphicData>
            </a:graphic>
          </wp:inline>
        </w:drawing>
      </w:r>
    </w:p>
    <w:p w14:paraId="4846959B" w14:textId="32C84A09" w:rsidR="00CE6FCA" w:rsidRPr="00CE6FCA" w:rsidRDefault="00CE6FCA" w:rsidP="00CE6FCA">
      <w:pPr>
        <w:pStyle w:val="MDPI51figurecaption"/>
      </w:pPr>
      <w:r w:rsidRPr="00CE6FCA">
        <w:rPr>
          <w:b/>
        </w:rPr>
        <w:t xml:space="preserve">Figure S1. </w:t>
      </w:r>
      <w:r w:rsidRPr="00CE6FCA">
        <w:t xml:space="preserve">Synergistic inhibition of viability of glioma stem-like cells with a restricted and full stem-like phenotype via inhibition of </w:t>
      </w:r>
      <w:proofErr w:type="spellStart"/>
      <w:r w:rsidRPr="00CE6FCA">
        <w:t>Hh</w:t>
      </w:r>
      <w:proofErr w:type="spellEnd"/>
      <w:r w:rsidRPr="00CE6FCA">
        <w:t xml:space="preserve"> and Notch signaling. Viability (MTT) assay of (</w:t>
      </w:r>
      <w:r w:rsidRPr="00CE6FCA">
        <w:rPr>
          <w:b/>
        </w:rPr>
        <w:t>a</w:t>
      </w:r>
      <w:r w:rsidRPr="00CE6FCA">
        <w:t xml:space="preserve"> and </w:t>
      </w:r>
      <w:r w:rsidRPr="00CE6FCA">
        <w:rPr>
          <w:b/>
        </w:rPr>
        <w:t>b</w:t>
      </w:r>
      <w:r w:rsidRPr="00CE6FCA">
        <w:t>) GS-1 restricted or (</w:t>
      </w:r>
      <w:r w:rsidRPr="00CE6FCA">
        <w:rPr>
          <w:b/>
        </w:rPr>
        <w:t>c</w:t>
      </w:r>
      <w:r w:rsidRPr="00CE6FCA">
        <w:t xml:space="preserve"> and </w:t>
      </w:r>
      <w:r w:rsidRPr="00CE6FCA">
        <w:rPr>
          <w:b/>
        </w:rPr>
        <w:t>d</w:t>
      </w:r>
      <w:r w:rsidRPr="00CE6FCA">
        <w:t>) GS-8 full glioma stem like cells after treatment for 24</w:t>
      </w:r>
      <w:r w:rsidR="008C0D26">
        <w:t xml:space="preserve"> </w:t>
      </w:r>
      <w:r w:rsidRPr="00CE6FCA">
        <w:t>h with increasing concentrations (</w:t>
      </w:r>
      <w:r w:rsidRPr="00CE6FCA">
        <w:rPr>
          <w:b/>
        </w:rPr>
        <w:t>a</w:t>
      </w:r>
      <w:r w:rsidRPr="00CE6FCA">
        <w:t xml:space="preserve"> and </w:t>
      </w:r>
      <w:r w:rsidRPr="00CE6FCA">
        <w:rPr>
          <w:b/>
        </w:rPr>
        <w:t>c</w:t>
      </w:r>
      <w:r w:rsidRPr="00CE6FCA">
        <w:t>) ATO or (</w:t>
      </w:r>
      <w:r w:rsidRPr="00CE6FCA">
        <w:rPr>
          <w:b/>
        </w:rPr>
        <w:t>b</w:t>
      </w:r>
      <w:r w:rsidRPr="00CE6FCA">
        <w:t xml:space="preserve"> and </w:t>
      </w:r>
      <w:r w:rsidRPr="00CE6FCA">
        <w:rPr>
          <w:b/>
        </w:rPr>
        <w:t>d</w:t>
      </w:r>
      <w:r w:rsidRPr="00CE6FCA">
        <w:t xml:space="preserve">) GANT in combination with </w:t>
      </w:r>
      <w:proofErr w:type="spellStart"/>
      <w:r w:rsidRPr="00CE6FCA">
        <w:t>Gos</w:t>
      </w:r>
      <w:proofErr w:type="spellEnd"/>
      <w:r w:rsidRPr="00CE6FCA">
        <w:t>. (</w:t>
      </w:r>
      <w:r w:rsidRPr="00CE6FCA">
        <w:rPr>
          <w:b/>
        </w:rPr>
        <w:t>a</w:t>
      </w:r>
      <w:r w:rsidRPr="00CE6FCA">
        <w:t xml:space="preserve"> and </w:t>
      </w:r>
      <w:r w:rsidRPr="00CE6FCA">
        <w:rPr>
          <w:b/>
        </w:rPr>
        <w:t>b</w:t>
      </w:r>
      <w:r w:rsidRPr="00CE6FCA">
        <w:t xml:space="preserve">), right side) The CI was calculated from the data obtained according to Chou et al. </w:t>
      </w:r>
      <w:r w:rsidRPr="007035EB">
        <w:t xml:space="preserve">(21) </w:t>
      </w:r>
      <w:r w:rsidRPr="00CE6FCA">
        <w:t>using the non-constant ratio setting (CI</w:t>
      </w:r>
      <w:r w:rsidR="008C0D26">
        <w:t xml:space="preserve"> </w:t>
      </w:r>
      <w:r w:rsidRPr="00CE6FCA">
        <w:t>&gt;</w:t>
      </w:r>
      <w:r w:rsidR="008C0D26">
        <w:t xml:space="preserve"> </w:t>
      </w:r>
      <w:r w:rsidRPr="00CE6FCA">
        <w:t>1: antagonism; CI</w:t>
      </w:r>
      <w:r w:rsidR="008C0D26">
        <w:t xml:space="preserve"> </w:t>
      </w:r>
      <w:r w:rsidRPr="00CE6FCA">
        <w:t>=</w:t>
      </w:r>
      <w:r w:rsidR="008C0D26">
        <w:t xml:space="preserve"> </w:t>
      </w:r>
      <w:r w:rsidRPr="00CE6FCA">
        <w:t>1: additive; CI</w:t>
      </w:r>
      <w:r w:rsidR="008C0D26">
        <w:t xml:space="preserve"> </w:t>
      </w:r>
      <w:r w:rsidRPr="00CE6FCA">
        <w:t>&lt;</w:t>
      </w:r>
      <w:r w:rsidR="008C0D26">
        <w:t xml:space="preserve"> </w:t>
      </w:r>
      <w:r w:rsidRPr="00CE6FCA">
        <w:t>1: synergism). (</w:t>
      </w:r>
      <w:r w:rsidRPr="00CE6FCA">
        <w:rPr>
          <w:b/>
        </w:rPr>
        <w:t>e</w:t>
      </w:r>
      <w:r w:rsidRPr="00CE6FCA">
        <w:t xml:space="preserve"> and </w:t>
      </w:r>
      <w:r w:rsidRPr="00CE6FCA">
        <w:rPr>
          <w:b/>
        </w:rPr>
        <w:t>f</w:t>
      </w:r>
      <w:r w:rsidRPr="00CE6FCA">
        <w:t xml:space="preserve">) Bar graph of </w:t>
      </w:r>
      <w:proofErr w:type="spellStart"/>
      <w:r w:rsidRPr="00CE6FCA">
        <w:t>Taqman</w:t>
      </w:r>
      <w:proofErr w:type="spellEnd"/>
      <w:r w:rsidRPr="00CE6FCA">
        <w:t>-based gene expression analysis of (</w:t>
      </w:r>
      <w:r w:rsidRPr="00CE6FCA">
        <w:rPr>
          <w:b/>
        </w:rPr>
        <w:t>e</w:t>
      </w:r>
      <w:r w:rsidRPr="00CE6FCA">
        <w:t>) GS-8 and (</w:t>
      </w:r>
      <w:r w:rsidRPr="00CE6FCA">
        <w:rPr>
          <w:b/>
        </w:rPr>
        <w:t>f</w:t>
      </w:r>
      <w:r w:rsidRPr="00CE6FCA">
        <w:t xml:space="preserve">) 17/02 after treatment with 5 µM </w:t>
      </w:r>
      <w:proofErr w:type="spellStart"/>
      <w:r w:rsidRPr="00CE6FCA">
        <w:t>Gos</w:t>
      </w:r>
      <w:proofErr w:type="spellEnd"/>
      <w:r w:rsidRPr="00CE6FCA">
        <w:t xml:space="preserve">, 2.5 µM GANT or ATO or the combination of GANT or ATO with </w:t>
      </w:r>
      <w:proofErr w:type="spellStart"/>
      <w:r w:rsidRPr="00CE6FCA">
        <w:t>Gos</w:t>
      </w:r>
      <w:proofErr w:type="spellEnd"/>
      <w:r w:rsidRPr="00CE6FCA">
        <w:t xml:space="preserve"> (G</w:t>
      </w:r>
      <w:r w:rsidR="008C0D26">
        <w:t xml:space="preserve"> </w:t>
      </w:r>
      <w:r w:rsidRPr="00CE6FCA">
        <w:t>+</w:t>
      </w:r>
      <w:r w:rsidR="008C0D26">
        <w:t xml:space="preserve"> </w:t>
      </w:r>
      <w:proofErr w:type="spellStart"/>
      <w:r w:rsidRPr="00CE6FCA">
        <w:t>Gos</w:t>
      </w:r>
      <w:proofErr w:type="spellEnd"/>
      <w:r w:rsidRPr="00CE6FCA">
        <w:t>; A</w:t>
      </w:r>
      <w:r w:rsidR="008C0D26">
        <w:t xml:space="preserve"> </w:t>
      </w:r>
      <w:r w:rsidRPr="00CE6FCA">
        <w:t>+</w:t>
      </w:r>
      <w:r w:rsidR="008C0D26">
        <w:t xml:space="preserve"> </w:t>
      </w:r>
      <w:proofErr w:type="spellStart"/>
      <w:r w:rsidRPr="00CE6FCA">
        <w:t>Gos</w:t>
      </w:r>
      <w:proofErr w:type="spellEnd"/>
      <w:r w:rsidRPr="00CE6FCA">
        <w:t>).</w:t>
      </w:r>
      <w:r w:rsidR="008C0D26">
        <w:t xml:space="preserve"> </w:t>
      </w:r>
      <w:r w:rsidRPr="00CE6FCA">
        <w:t xml:space="preserve">The MTT data are presented as Box-Plots (Tukey) of at least two experiments performed in 6 biological replicates. The CI value is given as a single value calculated from the summary of all experiments. Gene expression experiments were conducted in triplicates and performed three times (GS-8) and once (17/01) * </w:t>
      </w:r>
      <w:r w:rsidRPr="008C0D26">
        <w:rPr>
          <w:i/>
        </w:rPr>
        <w:t>p</w:t>
      </w:r>
      <w:r w:rsidR="008C0D26">
        <w:t xml:space="preserve"> </w:t>
      </w:r>
      <w:r w:rsidRPr="00CE6FCA">
        <w:t>&lt;</w:t>
      </w:r>
      <w:r w:rsidR="008C0D26">
        <w:t xml:space="preserve"> </w:t>
      </w:r>
      <w:r w:rsidRPr="00CE6FCA">
        <w:t xml:space="preserve">0.05; ** </w:t>
      </w:r>
      <w:r w:rsidRPr="008C0D26">
        <w:rPr>
          <w:i/>
        </w:rPr>
        <w:t>p</w:t>
      </w:r>
      <w:r w:rsidR="008C0D26">
        <w:t xml:space="preserve"> </w:t>
      </w:r>
      <w:r w:rsidRPr="00CE6FCA">
        <w:t>&lt;</w:t>
      </w:r>
      <w:r w:rsidR="008C0D26">
        <w:t xml:space="preserve"> </w:t>
      </w:r>
      <w:r w:rsidRPr="00CE6FCA">
        <w:t xml:space="preserve">0.01; *** </w:t>
      </w:r>
      <w:r w:rsidRPr="008C0D26">
        <w:rPr>
          <w:i/>
        </w:rPr>
        <w:t>p</w:t>
      </w:r>
      <w:r w:rsidR="008C0D26">
        <w:t xml:space="preserve"> </w:t>
      </w:r>
      <w:r w:rsidRPr="00CE6FCA">
        <w:t>&lt;</w:t>
      </w:r>
      <w:r w:rsidR="008C0D26">
        <w:t xml:space="preserve"> </w:t>
      </w:r>
      <w:r w:rsidRPr="00CE6FCA">
        <w:t xml:space="preserve">0.001; **** </w:t>
      </w:r>
      <w:r w:rsidRPr="008C0D26">
        <w:rPr>
          <w:i/>
        </w:rPr>
        <w:t>p</w:t>
      </w:r>
      <w:r w:rsidR="008C0D26">
        <w:t xml:space="preserve"> </w:t>
      </w:r>
      <w:r w:rsidRPr="00CE6FCA">
        <w:t>&lt;</w:t>
      </w:r>
      <w:r w:rsidR="008C0D26">
        <w:t xml:space="preserve"> </w:t>
      </w:r>
      <w:r w:rsidRPr="00CE6FCA">
        <w:t xml:space="preserve">0.0001 against solvent or as indicated. ° </w:t>
      </w:r>
      <w:r w:rsidRPr="008C0D26">
        <w:rPr>
          <w:i/>
        </w:rPr>
        <w:t>p</w:t>
      </w:r>
      <w:r w:rsidR="008C0D26">
        <w:t xml:space="preserve"> </w:t>
      </w:r>
      <w:r w:rsidRPr="00CE6FCA">
        <w:t>&lt;</w:t>
      </w:r>
      <w:r w:rsidR="008C0D26">
        <w:t xml:space="preserve"> </w:t>
      </w:r>
      <w:r w:rsidRPr="00CE6FCA">
        <w:t xml:space="preserve">0.05; °° </w:t>
      </w:r>
      <w:r w:rsidRPr="008C0D26">
        <w:rPr>
          <w:i/>
        </w:rPr>
        <w:t>p</w:t>
      </w:r>
      <w:r w:rsidR="008C0D26">
        <w:t xml:space="preserve"> </w:t>
      </w:r>
      <w:r w:rsidRPr="00CE6FCA">
        <w:t>&lt;</w:t>
      </w:r>
      <w:r w:rsidR="008C0D26">
        <w:t xml:space="preserve"> </w:t>
      </w:r>
      <w:r w:rsidRPr="00CE6FCA">
        <w:t xml:space="preserve">0.01; °°° </w:t>
      </w:r>
      <w:r w:rsidRPr="008C0D26">
        <w:rPr>
          <w:i/>
        </w:rPr>
        <w:t>p</w:t>
      </w:r>
      <w:r w:rsidR="008C0D26">
        <w:t xml:space="preserve"> </w:t>
      </w:r>
      <w:r w:rsidRPr="00CE6FCA">
        <w:t>&lt;</w:t>
      </w:r>
      <w:r w:rsidR="008C0D26">
        <w:t xml:space="preserve"> </w:t>
      </w:r>
      <w:r w:rsidRPr="00CE6FCA">
        <w:t xml:space="preserve">0.001; °°°° </w:t>
      </w:r>
      <w:r w:rsidRPr="008C0D26">
        <w:rPr>
          <w:i/>
        </w:rPr>
        <w:t>p</w:t>
      </w:r>
      <w:r w:rsidR="008C0D26">
        <w:t xml:space="preserve"> </w:t>
      </w:r>
      <w:r w:rsidRPr="00CE6FCA">
        <w:t>&lt;</w:t>
      </w:r>
      <w:r w:rsidR="008C0D26">
        <w:t xml:space="preserve"> </w:t>
      </w:r>
      <w:r w:rsidRPr="00CE6FCA">
        <w:t>0.0001 against GANT or ATO single treatment.</w:t>
      </w:r>
    </w:p>
    <w:p w14:paraId="50B16148" w14:textId="77777777" w:rsidR="00CE6FCA" w:rsidRPr="00CE6FCA" w:rsidRDefault="00CE6FCA" w:rsidP="00CE6FCA">
      <w:pPr>
        <w:pStyle w:val="MDPI52figure"/>
      </w:pPr>
      <w:r w:rsidRPr="00CE6FCA">
        <w:rPr>
          <w:noProof/>
          <w:lang w:val="de-DE" w:bidi="ar-SA"/>
        </w:rPr>
        <w:lastRenderedPageBreak/>
        <w:drawing>
          <wp:inline distT="0" distB="0" distL="0" distR="0" wp14:anchorId="26FC845C" wp14:editId="406E75B1">
            <wp:extent cx="5600700" cy="5143500"/>
            <wp:effectExtent l="0" t="0" r="0" b="0"/>
            <wp:docPr id="15" name="Bild 8" descr="Figure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S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00700" cy="5143500"/>
                    </a:xfrm>
                    <a:prstGeom prst="rect">
                      <a:avLst/>
                    </a:prstGeom>
                    <a:noFill/>
                    <a:ln>
                      <a:noFill/>
                    </a:ln>
                  </pic:spPr>
                </pic:pic>
              </a:graphicData>
            </a:graphic>
          </wp:inline>
        </w:drawing>
      </w:r>
    </w:p>
    <w:p w14:paraId="3517AB6A" w14:textId="48362429" w:rsidR="00CE6FCA" w:rsidRPr="0022418A" w:rsidRDefault="00CE6FCA" w:rsidP="00CE6FCA">
      <w:pPr>
        <w:pStyle w:val="MDPI51figurecaption"/>
      </w:pPr>
      <w:r w:rsidRPr="00CE6FCA">
        <w:rPr>
          <w:b/>
        </w:rPr>
        <w:t xml:space="preserve">Figure S2. </w:t>
      </w:r>
      <w:r w:rsidRPr="00CE6FCA">
        <w:t xml:space="preserve">Synergistic induction of cell death after combined treatment with GANT or ATO with </w:t>
      </w:r>
      <w:proofErr w:type="spellStart"/>
      <w:r w:rsidRPr="00CE6FCA">
        <w:t>Gos</w:t>
      </w:r>
      <w:proofErr w:type="spellEnd"/>
      <w:r w:rsidRPr="00CE6FCA">
        <w:t>. (</w:t>
      </w:r>
      <w:r w:rsidRPr="00CE6FCA">
        <w:rPr>
          <w:b/>
        </w:rPr>
        <w:t>a</w:t>
      </w:r>
      <w:r w:rsidRPr="00CE6FCA">
        <w:t xml:space="preserve">, </w:t>
      </w:r>
      <w:r w:rsidRPr="00CE6FCA">
        <w:rPr>
          <w:b/>
        </w:rPr>
        <w:t>c</w:t>
      </w:r>
      <w:r w:rsidRPr="00CE6FCA">
        <w:t xml:space="preserve"> and </w:t>
      </w:r>
      <w:r w:rsidRPr="00CE6FCA">
        <w:rPr>
          <w:b/>
        </w:rPr>
        <w:t>e</w:t>
      </w:r>
      <w:r w:rsidRPr="00CE6FCA">
        <w:t>) stacked bar chart of (</w:t>
      </w:r>
      <w:r w:rsidRPr="00CE6FCA">
        <w:rPr>
          <w:b/>
        </w:rPr>
        <w:t>a</w:t>
      </w:r>
      <w:r w:rsidRPr="00CE6FCA">
        <w:t>) GS-3, (</w:t>
      </w:r>
      <w:r w:rsidRPr="00CE6FCA">
        <w:rPr>
          <w:b/>
        </w:rPr>
        <w:t>b</w:t>
      </w:r>
      <w:r w:rsidRPr="00CE6FCA">
        <w:t>) GS-8 and (</w:t>
      </w:r>
      <w:r w:rsidRPr="00CE6FCA">
        <w:rPr>
          <w:b/>
        </w:rPr>
        <w:t>c</w:t>
      </w:r>
      <w:r w:rsidRPr="00CE6FCA">
        <w:t>) the adherently growing GS line GS-1 after treatment for 24h with the drugs and concentrations as indicated. Box- Plots of the percentages of dead cells (100%</w:t>
      </w:r>
      <w:r w:rsidR="001A79BA">
        <w:t>—</w:t>
      </w:r>
      <w:r w:rsidRPr="00CE6FCA">
        <w:t>An-/PI-) of (</w:t>
      </w:r>
      <w:r w:rsidRPr="00CE6FCA">
        <w:rPr>
          <w:b/>
        </w:rPr>
        <w:t>b</w:t>
      </w:r>
      <w:r w:rsidRPr="00CE6FCA">
        <w:t>) GS-3, (</w:t>
      </w:r>
      <w:r w:rsidRPr="00CE6FCA">
        <w:rPr>
          <w:b/>
        </w:rPr>
        <w:t>d</w:t>
      </w:r>
      <w:r w:rsidRPr="00CE6FCA">
        <w:t>) GS-8 and (</w:t>
      </w:r>
      <w:r w:rsidRPr="00CE6FCA">
        <w:rPr>
          <w:b/>
        </w:rPr>
        <w:t>f</w:t>
      </w:r>
      <w:r w:rsidRPr="00CE6FCA">
        <w:t>) GS-1 after treatment as. Error bars in (</w:t>
      </w:r>
      <w:r w:rsidRPr="00CE6FCA">
        <w:rPr>
          <w:b/>
        </w:rPr>
        <w:t>a</w:t>
      </w:r>
      <w:r w:rsidRPr="00CE6FCA">
        <w:t xml:space="preserve"> and </w:t>
      </w:r>
      <w:r w:rsidRPr="00CE6FCA">
        <w:rPr>
          <w:b/>
        </w:rPr>
        <w:t>b</w:t>
      </w:r>
      <w:r w:rsidRPr="00CE6FCA">
        <w:t>) are SEM. The graphs are the summary of at</w:t>
      </w:r>
      <w:r>
        <w:t xml:space="preserve"> </w:t>
      </w:r>
      <w:r w:rsidRPr="0022418A">
        <w:t xml:space="preserve">least three experiments performed in triplicates. The line in the Box-Plots represents the median, the plus-Symbol the mean * </w:t>
      </w:r>
      <w:r w:rsidRPr="008C0D26">
        <w:rPr>
          <w:i/>
        </w:rPr>
        <w:t>p</w:t>
      </w:r>
      <w:r w:rsidR="008C0D26">
        <w:t xml:space="preserve"> </w:t>
      </w:r>
      <w:r w:rsidRPr="0022418A">
        <w:t>&lt;</w:t>
      </w:r>
      <w:r w:rsidR="008C0D26">
        <w:t xml:space="preserve"> </w:t>
      </w:r>
      <w:r w:rsidRPr="0022418A">
        <w:t xml:space="preserve">0.05; ** </w:t>
      </w:r>
      <w:r w:rsidRPr="008C0D26">
        <w:rPr>
          <w:i/>
        </w:rPr>
        <w:t>p</w:t>
      </w:r>
      <w:r w:rsidR="008C0D26">
        <w:t xml:space="preserve"> </w:t>
      </w:r>
      <w:r w:rsidRPr="0022418A">
        <w:t>&lt;</w:t>
      </w:r>
      <w:r w:rsidR="008C0D26">
        <w:t xml:space="preserve"> </w:t>
      </w:r>
      <w:r w:rsidRPr="0022418A">
        <w:t xml:space="preserve">0.01; *** </w:t>
      </w:r>
      <w:r w:rsidRPr="008C0D26">
        <w:rPr>
          <w:i/>
        </w:rPr>
        <w:t>p</w:t>
      </w:r>
      <w:r w:rsidR="008C0D26">
        <w:t xml:space="preserve"> </w:t>
      </w:r>
      <w:r w:rsidRPr="0022418A">
        <w:t>&lt;</w:t>
      </w:r>
      <w:r w:rsidR="008C0D26">
        <w:t xml:space="preserve"> </w:t>
      </w:r>
      <w:r w:rsidRPr="0022418A">
        <w:t xml:space="preserve">0.001; **** </w:t>
      </w:r>
      <w:r w:rsidRPr="008C0D26">
        <w:rPr>
          <w:i/>
        </w:rPr>
        <w:t>p</w:t>
      </w:r>
      <w:r w:rsidR="008C0D26">
        <w:t xml:space="preserve"> </w:t>
      </w:r>
      <w:r w:rsidRPr="0022418A">
        <w:t>&lt;</w:t>
      </w:r>
      <w:r w:rsidR="008C0D26">
        <w:t xml:space="preserve"> </w:t>
      </w:r>
      <w:r w:rsidRPr="0022418A">
        <w:t xml:space="preserve">0.0001 against solvent; # </w:t>
      </w:r>
      <w:r w:rsidRPr="008C0D26">
        <w:rPr>
          <w:i/>
        </w:rPr>
        <w:t>p</w:t>
      </w:r>
      <w:r w:rsidR="008C0D26">
        <w:t xml:space="preserve"> </w:t>
      </w:r>
      <w:r w:rsidRPr="0022418A">
        <w:t>&lt;</w:t>
      </w:r>
      <w:r w:rsidR="008C0D26">
        <w:t xml:space="preserve"> </w:t>
      </w:r>
      <w:r w:rsidRPr="0022418A">
        <w:t>0.05 against both single treatments. One-way ANOVA followed by Tukey Post-Hoc-Test (GraphPad Prism 7).</w:t>
      </w:r>
    </w:p>
    <w:p w14:paraId="2A238D6F" w14:textId="77777777" w:rsidR="00CE6FCA" w:rsidRPr="0022418A" w:rsidRDefault="00CE6FCA" w:rsidP="00CE6FCA">
      <w:pPr>
        <w:pStyle w:val="MDPI52figure"/>
      </w:pPr>
      <w:r w:rsidRPr="0022418A">
        <w:rPr>
          <w:noProof/>
          <w:lang w:val="de-DE" w:bidi="ar-SA"/>
        </w:rPr>
        <w:lastRenderedPageBreak/>
        <w:drawing>
          <wp:inline distT="0" distB="0" distL="0" distR="0" wp14:anchorId="59068E0A" wp14:editId="6B83ED85">
            <wp:extent cx="4391025" cy="3429000"/>
            <wp:effectExtent l="0" t="0" r="9525" b="0"/>
            <wp:docPr id="5" name="Bild 9" descr="Su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up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91025" cy="3429000"/>
                    </a:xfrm>
                    <a:prstGeom prst="rect">
                      <a:avLst/>
                    </a:prstGeom>
                    <a:noFill/>
                    <a:ln>
                      <a:noFill/>
                    </a:ln>
                  </pic:spPr>
                </pic:pic>
              </a:graphicData>
            </a:graphic>
          </wp:inline>
        </w:drawing>
      </w:r>
    </w:p>
    <w:p w14:paraId="30F5994B" w14:textId="1987847D" w:rsidR="00CE6FCA" w:rsidRPr="0022418A" w:rsidRDefault="00CE6FCA" w:rsidP="00CE6FCA">
      <w:pPr>
        <w:pStyle w:val="MDPI51figurecaption"/>
      </w:pPr>
      <w:r w:rsidRPr="00CE6FCA">
        <w:rPr>
          <w:b/>
        </w:rPr>
        <w:t xml:space="preserve">Figure </w:t>
      </w:r>
      <w:r>
        <w:rPr>
          <w:b/>
        </w:rPr>
        <w:t>S</w:t>
      </w:r>
      <w:r w:rsidRPr="00CE6FCA">
        <w:rPr>
          <w:b/>
        </w:rPr>
        <w:t xml:space="preserve">3. </w:t>
      </w:r>
      <w:r w:rsidRPr="0022418A">
        <w:t>Functionality test of GANT61 using Shh light II. Shh light II were pre-incubated using Shh-CM for 24</w:t>
      </w:r>
      <w:r w:rsidR="008C0D26">
        <w:t xml:space="preserve"> </w:t>
      </w:r>
      <w:r w:rsidRPr="0022418A">
        <w:t>h and treated with increasing doses of GANT (1 to 10 µM) for 48</w:t>
      </w:r>
      <w:r w:rsidR="008C0D26">
        <w:t xml:space="preserve"> </w:t>
      </w:r>
      <w:r w:rsidRPr="0022418A">
        <w:t xml:space="preserve">h. Incubation of Shh-CM or </w:t>
      </w:r>
      <w:proofErr w:type="spellStart"/>
      <w:r w:rsidRPr="0022418A">
        <w:t>CoM</w:t>
      </w:r>
      <w:proofErr w:type="spellEnd"/>
      <w:r w:rsidRPr="0022418A">
        <w:t xml:space="preserve"> without treatment (Insert) was conducted accordingly. One experiment performed in 4 biological replicates. * </w:t>
      </w:r>
      <w:r w:rsidRPr="008C0D26">
        <w:rPr>
          <w:i/>
        </w:rPr>
        <w:t>p</w:t>
      </w:r>
      <w:r w:rsidR="008C0D26">
        <w:t xml:space="preserve"> </w:t>
      </w:r>
      <w:r w:rsidRPr="0022418A">
        <w:t>&lt;</w:t>
      </w:r>
      <w:r w:rsidR="008C0D26">
        <w:t xml:space="preserve"> </w:t>
      </w:r>
      <w:r w:rsidRPr="0022418A">
        <w:t xml:space="preserve">0.05; ** </w:t>
      </w:r>
      <w:r w:rsidRPr="008C0D26">
        <w:rPr>
          <w:i/>
        </w:rPr>
        <w:t>p</w:t>
      </w:r>
      <w:r w:rsidR="008C0D26">
        <w:t xml:space="preserve"> </w:t>
      </w:r>
      <w:r w:rsidRPr="0022418A">
        <w:t>&lt;</w:t>
      </w:r>
      <w:r w:rsidR="008C0D26">
        <w:t xml:space="preserve"> </w:t>
      </w:r>
      <w:r w:rsidRPr="0022418A">
        <w:t xml:space="preserve">0.01; *** </w:t>
      </w:r>
      <w:r w:rsidRPr="008C0D26">
        <w:rPr>
          <w:i/>
        </w:rPr>
        <w:t>p</w:t>
      </w:r>
      <w:r w:rsidR="008C0D26">
        <w:t xml:space="preserve"> </w:t>
      </w:r>
      <w:r w:rsidRPr="0022418A">
        <w:t>&lt;</w:t>
      </w:r>
      <w:r w:rsidR="008C0D26">
        <w:t xml:space="preserve"> </w:t>
      </w:r>
      <w:r w:rsidRPr="0022418A">
        <w:t xml:space="preserve">0.001; **** </w:t>
      </w:r>
      <w:r w:rsidRPr="008C0D26">
        <w:rPr>
          <w:i/>
        </w:rPr>
        <w:t>p</w:t>
      </w:r>
      <w:r w:rsidR="008C0D26">
        <w:t xml:space="preserve"> </w:t>
      </w:r>
      <w:r w:rsidRPr="0022418A">
        <w:t>&lt;</w:t>
      </w:r>
      <w:r w:rsidR="008C0D26">
        <w:t xml:space="preserve"> </w:t>
      </w:r>
      <w:r w:rsidRPr="0022418A">
        <w:t>0.0001 against solvent or control (insert)</w:t>
      </w:r>
      <w:r>
        <w:t>.</w:t>
      </w:r>
    </w:p>
    <w:p w14:paraId="7BBC49CD" w14:textId="77777777" w:rsidR="00CE6FCA" w:rsidRPr="0022418A" w:rsidRDefault="00CE6FCA" w:rsidP="00CE6FCA">
      <w:pPr>
        <w:pStyle w:val="MDPI52figure"/>
      </w:pPr>
      <w:r w:rsidRPr="0022418A">
        <w:rPr>
          <w:noProof/>
          <w:snapToGrid/>
          <w:lang w:val="de-DE" w:bidi="ar-SA"/>
        </w:rPr>
        <w:lastRenderedPageBreak/>
        <w:drawing>
          <wp:inline distT="0" distB="0" distL="0" distR="0" wp14:anchorId="17CDBF1E" wp14:editId="4B29959A">
            <wp:extent cx="5515610" cy="8902700"/>
            <wp:effectExtent l="0" t="0" r="0" b="0"/>
            <wp:docPr id="7" name="Grafik 2" descr="U:\01_Projekte\02_Targeting Glioma-stem-like cells (GANT_ATO+Gos)\02_Manuskripte\2018_19\final_submission_05_Cancers\Revision\Figure S4_Rev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U:\01_Projekte\02_Targeting Glioma-stem-like cells (GANT_ATO+Gos)\02_Manuskripte\2018_19\final_submission_05_Cancers\Revision\Figure S4_Rev1.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15610" cy="8902700"/>
                    </a:xfrm>
                    <a:prstGeom prst="rect">
                      <a:avLst/>
                    </a:prstGeom>
                    <a:noFill/>
                    <a:ln>
                      <a:noFill/>
                    </a:ln>
                  </pic:spPr>
                </pic:pic>
              </a:graphicData>
            </a:graphic>
          </wp:inline>
        </w:drawing>
      </w:r>
    </w:p>
    <w:p w14:paraId="0168428D" w14:textId="48107C88" w:rsidR="00CE6FCA" w:rsidRDefault="00CE6FCA" w:rsidP="00CE6FCA">
      <w:pPr>
        <w:pStyle w:val="MDPI51figurecaption"/>
      </w:pPr>
      <w:r w:rsidRPr="00CE6FCA">
        <w:rPr>
          <w:b/>
        </w:rPr>
        <w:lastRenderedPageBreak/>
        <w:t xml:space="preserve">Figure </w:t>
      </w:r>
      <w:r>
        <w:rPr>
          <w:b/>
        </w:rPr>
        <w:t>S</w:t>
      </w:r>
      <w:r w:rsidRPr="00CE6FCA">
        <w:rPr>
          <w:b/>
        </w:rPr>
        <w:t xml:space="preserve">4. </w:t>
      </w:r>
      <w:r w:rsidRPr="0022418A">
        <w:t xml:space="preserve">Proteomic changes after GANT61 and ATO treatment and </w:t>
      </w:r>
      <w:proofErr w:type="spellStart"/>
      <w:r w:rsidRPr="0022418A">
        <w:t>Taqman</w:t>
      </w:r>
      <w:proofErr w:type="spellEnd"/>
      <w:r w:rsidRPr="0022418A">
        <w:t>-based validation of proteomic hits. (</w:t>
      </w:r>
      <w:r w:rsidRPr="0022418A">
        <w:rPr>
          <w:b/>
        </w:rPr>
        <w:t>a</w:t>
      </w:r>
      <w:r w:rsidRPr="0022418A">
        <w:t xml:space="preserve"> and </w:t>
      </w:r>
      <w:r w:rsidRPr="0022418A">
        <w:rPr>
          <w:b/>
        </w:rPr>
        <w:t>b</w:t>
      </w:r>
      <w:r w:rsidRPr="0022418A">
        <w:t xml:space="preserve">) Volcano Plots showing the protein ratios (in log2) as function of the </w:t>
      </w:r>
      <w:r w:rsidR="001A79BA">
        <w:t>−</w:t>
      </w:r>
      <w:r w:rsidRPr="0022418A">
        <w:t xml:space="preserve">log </w:t>
      </w:r>
      <w:r w:rsidRPr="008C0D26">
        <w:rPr>
          <w:i/>
        </w:rPr>
        <w:t>p</w:t>
      </w:r>
      <w:r w:rsidRPr="0022418A">
        <w:t>-values of label-free quantification proteomics data of GS-5 after treatment for 24</w:t>
      </w:r>
      <w:r w:rsidR="008C0D26">
        <w:t xml:space="preserve"> </w:t>
      </w:r>
      <w:r w:rsidRPr="0022418A">
        <w:t>h with (</w:t>
      </w:r>
      <w:r w:rsidRPr="0022418A">
        <w:rPr>
          <w:b/>
        </w:rPr>
        <w:t>a</w:t>
      </w:r>
      <w:r w:rsidRPr="0022418A">
        <w:t>) 2.5 µM GANT or (</w:t>
      </w:r>
      <w:r w:rsidRPr="0022418A">
        <w:rPr>
          <w:b/>
        </w:rPr>
        <w:t>b</w:t>
      </w:r>
      <w:r w:rsidRPr="0022418A">
        <w:t>) 2.5 µM ATO. The amount of significantly enriched protein is written above the plots (</w:t>
      </w:r>
      <w:r w:rsidRPr="0022418A">
        <w:rPr>
          <w:b/>
        </w:rPr>
        <w:t>c</w:t>
      </w:r>
      <w:r w:rsidRPr="0022418A">
        <w:t xml:space="preserve"> to </w:t>
      </w:r>
      <w:r w:rsidRPr="0022418A">
        <w:rPr>
          <w:b/>
        </w:rPr>
        <w:t>e</w:t>
      </w:r>
      <w:r w:rsidRPr="0022418A">
        <w:t xml:space="preserve">). Bar graphs showing the relative quantification of the genes indicated after treatment with solvent (DMSO), </w:t>
      </w:r>
      <w:proofErr w:type="spellStart"/>
      <w:r w:rsidRPr="0022418A">
        <w:t>Gos</w:t>
      </w:r>
      <w:proofErr w:type="spellEnd"/>
      <w:r w:rsidRPr="0022418A">
        <w:t>, GANT, ATO or a combination of GANT</w:t>
      </w:r>
      <w:r w:rsidR="008C0D26">
        <w:t xml:space="preserve"> </w:t>
      </w:r>
      <w:r w:rsidRPr="0022418A">
        <w:t>+</w:t>
      </w:r>
      <w:r w:rsidR="008C0D26">
        <w:t xml:space="preserve"> </w:t>
      </w:r>
      <w:proofErr w:type="spellStart"/>
      <w:r w:rsidRPr="0022418A">
        <w:t>Gos</w:t>
      </w:r>
      <w:proofErr w:type="spellEnd"/>
      <w:r w:rsidRPr="0022418A">
        <w:t xml:space="preserve"> and ATO</w:t>
      </w:r>
      <w:r w:rsidR="008C0D26">
        <w:t xml:space="preserve"> </w:t>
      </w:r>
      <w:r w:rsidRPr="0022418A">
        <w:t>+</w:t>
      </w:r>
      <w:r w:rsidR="008C0D26">
        <w:t xml:space="preserve"> </w:t>
      </w:r>
      <w:proofErr w:type="spellStart"/>
      <w:r w:rsidRPr="0022418A">
        <w:t>Gos</w:t>
      </w:r>
      <w:proofErr w:type="spellEnd"/>
      <w:r w:rsidRPr="0022418A">
        <w:t xml:space="preserve"> for 24</w:t>
      </w:r>
      <w:r w:rsidR="008C0D26">
        <w:t xml:space="preserve"> </w:t>
      </w:r>
      <w:r w:rsidRPr="0022418A">
        <w:t xml:space="preserve">h. Gene expression values were normalized to TBP. Gene expression analysis was performed once in biological triplicates using </w:t>
      </w:r>
      <w:proofErr w:type="spellStart"/>
      <w:r w:rsidRPr="0022418A">
        <w:t>Taqman</w:t>
      </w:r>
      <w:proofErr w:type="spellEnd"/>
      <w:r w:rsidRPr="0022418A">
        <w:t>-based probes.</w:t>
      </w:r>
    </w:p>
    <w:p w14:paraId="043FCB55" w14:textId="77777777" w:rsidR="00CE6FCA" w:rsidRPr="0022418A" w:rsidRDefault="00CE6FCA" w:rsidP="00CE6FCA">
      <w:pPr>
        <w:pStyle w:val="MDPI52figure"/>
      </w:pPr>
      <w:r w:rsidRPr="0022418A">
        <w:rPr>
          <w:noProof/>
          <w:lang w:val="de-DE" w:bidi="ar-SA"/>
        </w:rPr>
        <w:drawing>
          <wp:inline distT="0" distB="0" distL="0" distR="0" wp14:anchorId="1BA0423F" wp14:editId="6E1A1EBC">
            <wp:extent cx="4124325" cy="5391150"/>
            <wp:effectExtent l="0" t="0" r="9525" b="0"/>
            <wp:docPr id="11" name="Bild 11" descr="Figure 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S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24325" cy="5391150"/>
                    </a:xfrm>
                    <a:prstGeom prst="rect">
                      <a:avLst/>
                    </a:prstGeom>
                    <a:noFill/>
                    <a:ln>
                      <a:noFill/>
                    </a:ln>
                  </pic:spPr>
                </pic:pic>
              </a:graphicData>
            </a:graphic>
          </wp:inline>
        </w:drawing>
      </w:r>
    </w:p>
    <w:p w14:paraId="1E681FFF" w14:textId="4B1E6116" w:rsidR="00CE6FCA" w:rsidRPr="0022418A" w:rsidRDefault="00CE6FCA" w:rsidP="00CE6FCA">
      <w:pPr>
        <w:pStyle w:val="MDPI51figurecaption"/>
      </w:pPr>
      <w:r w:rsidRPr="00CE6FCA">
        <w:rPr>
          <w:b/>
        </w:rPr>
        <w:t xml:space="preserve">Figure </w:t>
      </w:r>
      <w:r>
        <w:rPr>
          <w:b/>
        </w:rPr>
        <w:t>S</w:t>
      </w:r>
      <w:r w:rsidRPr="00CE6FCA">
        <w:rPr>
          <w:b/>
        </w:rPr>
        <w:t xml:space="preserve">5. </w:t>
      </w:r>
      <w:r w:rsidRPr="0022418A">
        <w:t xml:space="preserve">ATO, but not GANT in combination with </w:t>
      </w:r>
      <w:proofErr w:type="spellStart"/>
      <w:r w:rsidRPr="0022418A">
        <w:t>Gos</w:t>
      </w:r>
      <w:proofErr w:type="spellEnd"/>
      <w:r w:rsidRPr="0022418A">
        <w:t xml:space="preserve"> reduces GSC marker proteins and </w:t>
      </w:r>
      <w:proofErr w:type="spellStart"/>
      <w:r w:rsidRPr="0022418A">
        <w:t>Hh</w:t>
      </w:r>
      <w:proofErr w:type="spellEnd"/>
      <w:r w:rsidRPr="0022418A">
        <w:t xml:space="preserve"> and Notch pathway activity in GS-8 and 17/01. (</w:t>
      </w:r>
      <w:r w:rsidRPr="0022418A">
        <w:rPr>
          <w:b/>
        </w:rPr>
        <w:t>a</w:t>
      </w:r>
      <w:r w:rsidRPr="0022418A">
        <w:t xml:space="preserve"> and </w:t>
      </w:r>
      <w:r w:rsidRPr="0022418A">
        <w:rPr>
          <w:b/>
        </w:rPr>
        <w:t>b</w:t>
      </w:r>
      <w:r w:rsidRPr="0022418A">
        <w:t>) Western Blot analysis of (</w:t>
      </w:r>
      <w:r w:rsidRPr="0022418A">
        <w:rPr>
          <w:b/>
        </w:rPr>
        <w:t>a</w:t>
      </w:r>
      <w:r w:rsidRPr="0022418A">
        <w:t>) GS-8 and (</w:t>
      </w:r>
      <w:r w:rsidRPr="0022418A">
        <w:rPr>
          <w:b/>
        </w:rPr>
        <w:t>b</w:t>
      </w:r>
      <w:r w:rsidRPr="0022418A">
        <w:t xml:space="preserve">) the primary line 17/01 after treatment for 24h with solvent (DMSO), 7.5 µM </w:t>
      </w:r>
      <w:proofErr w:type="spellStart"/>
      <w:r w:rsidRPr="0022418A">
        <w:t>Gos</w:t>
      </w:r>
      <w:proofErr w:type="spellEnd"/>
      <w:r w:rsidRPr="0022418A">
        <w:t xml:space="preserve">, 5 µM GANT, 5 µM ATO or a combination of </w:t>
      </w:r>
      <w:proofErr w:type="spellStart"/>
      <w:r w:rsidRPr="0022418A">
        <w:t>Gos</w:t>
      </w:r>
      <w:proofErr w:type="spellEnd"/>
      <w:r w:rsidRPr="0022418A">
        <w:t xml:space="preserve"> with GANT (GANT</w:t>
      </w:r>
      <w:r w:rsidR="008C0D26">
        <w:t xml:space="preserve"> </w:t>
      </w:r>
      <w:r w:rsidRPr="0022418A">
        <w:t>+</w:t>
      </w:r>
      <w:r w:rsidR="008C0D26">
        <w:t xml:space="preserve"> </w:t>
      </w:r>
      <w:proofErr w:type="spellStart"/>
      <w:r w:rsidRPr="0022418A">
        <w:t>Gos</w:t>
      </w:r>
      <w:proofErr w:type="spellEnd"/>
      <w:r w:rsidRPr="0022418A">
        <w:t>) or ATO (ATO</w:t>
      </w:r>
      <w:r w:rsidR="008C0D26">
        <w:t xml:space="preserve"> </w:t>
      </w:r>
      <w:r w:rsidRPr="0022418A">
        <w:t>+</w:t>
      </w:r>
      <w:r w:rsidR="008C0D26">
        <w:t xml:space="preserve"> </w:t>
      </w:r>
      <w:proofErr w:type="spellStart"/>
      <w:r w:rsidRPr="0022418A">
        <w:t>Gos</w:t>
      </w:r>
      <w:proofErr w:type="spellEnd"/>
      <w:r w:rsidRPr="0022418A">
        <w:t>). (</w:t>
      </w:r>
      <w:r w:rsidRPr="0022418A">
        <w:rPr>
          <w:b/>
        </w:rPr>
        <w:t>c</w:t>
      </w:r>
      <w:r w:rsidRPr="0022418A">
        <w:t xml:space="preserve"> and </w:t>
      </w:r>
      <w:r w:rsidRPr="0022418A">
        <w:rPr>
          <w:b/>
        </w:rPr>
        <w:t>d</w:t>
      </w:r>
      <w:r w:rsidRPr="0022418A">
        <w:t xml:space="preserve">) </w:t>
      </w:r>
      <w:proofErr w:type="spellStart"/>
      <w:r w:rsidRPr="0022418A">
        <w:t>Taqman</w:t>
      </w:r>
      <w:proofErr w:type="spellEnd"/>
      <w:r w:rsidRPr="0022418A">
        <w:t>-based gene expression analysis of (</w:t>
      </w:r>
      <w:r w:rsidRPr="0022418A">
        <w:rPr>
          <w:b/>
        </w:rPr>
        <w:t>c</w:t>
      </w:r>
      <w:r w:rsidRPr="0022418A">
        <w:t>) GS-8 and (</w:t>
      </w:r>
      <w:r w:rsidRPr="0022418A">
        <w:rPr>
          <w:b/>
        </w:rPr>
        <w:t>d</w:t>
      </w:r>
      <w:r w:rsidRPr="0022418A">
        <w:t xml:space="preserve">) 17/01 after treatment for 24 h with 5 µM </w:t>
      </w:r>
      <w:proofErr w:type="spellStart"/>
      <w:r w:rsidRPr="0022418A">
        <w:t>Gos</w:t>
      </w:r>
      <w:proofErr w:type="spellEnd"/>
      <w:r w:rsidRPr="0022418A">
        <w:t xml:space="preserve">, 2.5 µM GANT or ATO or the combination of GANT or ATO with </w:t>
      </w:r>
      <w:proofErr w:type="spellStart"/>
      <w:r w:rsidRPr="0022418A">
        <w:t>Gos</w:t>
      </w:r>
      <w:proofErr w:type="spellEnd"/>
      <w:r w:rsidRPr="0022418A">
        <w:t xml:space="preserve"> (GANT</w:t>
      </w:r>
      <w:r w:rsidR="008C0D26">
        <w:t xml:space="preserve"> </w:t>
      </w:r>
      <w:r w:rsidRPr="0022418A">
        <w:t>+</w:t>
      </w:r>
      <w:r w:rsidR="008C0D26">
        <w:t xml:space="preserve"> </w:t>
      </w:r>
      <w:proofErr w:type="spellStart"/>
      <w:r w:rsidRPr="0022418A">
        <w:t>Gos</w:t>
      </w:r>
      <w:proofErr w:type="spellEnd"/>
      <w:r w:rsidRPr="0022418A">
        <w:t>; ATO</w:t>
      </w:r>
      <w:r w:rsidR="008C0D26">
        <w:t xml:space="preserve"> </w:t>
      </w:r>
      <w:r w:rsidRPr="0022418A">
        <w:t>+</w:t>
      </w:r>
      <w:r w:rsidR="008C0D26">
        <w:t xml:space="preserve"> </w:t>
      </w:r>
      <w:proofErr w:type="spellStart"/>
      <w:r w:rsidRPr="0022418A">
        <w:t>Gos</w:t>
      </w:r>
      <w:proofErr w:type="spellEnd"/>
      <w:r w:rsidRPr="0022418A">
        <w:t xml:space="preserve">). The experiments were performed three times (GS-8) or once (17/01). The gene expression experiment </w:t>
      </w:r>
      <w:proofErr w:type="gramStart"/>
      <w:r w:rsidRPr="0022418A">
        <w:t>were</w:t>
      </w:r>
      <w:proofErr w:type="gramEnd"/>
      <w:r w:rsidRPr="0022418A">
        <w:t xml:space="preserve"> performed in 3 biological replicates. * </w:t>
      </w:r>
      <w:r w:rsidRPr="008C0D26">
        <w:rPr>
          <w:i/>
        </w:rPr>
        <w:t>p</w:t>
      </w:r>
      <w:r w:rsidR="008C0D26">
        <w:t xml:space="preserve"> </w:t>
      </w:r>
      <w:r w:rsidRPr="0022418A">
        <w:t xml:space="preserve">&lt; 0.05; ** </w:t>
      </w:r>
      <w:r w:rsidRPr="008C0D26">
        <w:rPr>
          <w:i/>
        </w:rPr>
        <w:t>p</w:t>
      </w:r>
      <w:r w:rsidR="008C0D26">
        <w:t xml:space="preserve"> </w:t>
      </w:r>
      <w:commentRangeStart w:id="0"/>
      <w:commentRangeEnd w:id="0"/>
      <w:r w:rsidR="00C61D24">
        <w:t>&lt;</w:t>
      </w:r>
      <w:r w:rsidRPr="0022418A">
        <w:t xml:space="preserve"> 0.01; *** </w:t>
      </w:r>
      <w:r w:rsidRPr="008C0D26">
        <w:rPr>
          <w:i/>
        </w:rPr>
        <w:t>p</w:t>
      </w:r>
      <w:r w:rsidR="008C0D26">
        <w:t xml:space="preserve"> </w:t>
      </w:r>
      <w:r w:rsidRPr="0022418A">
        <w:t xml:space="preserve">&lt; 0.001; **** </w:t>
      </w:r>
      <w:r w:rsidRPr="008C0D26">
        <w:rPr>
          <w:i/>
        </w:rPr>
        <w:t>p</w:t>
      </w:r>
      <w:r w:rsidR="008C0D26">
        <w:t xml:space="preserve"> </w:t>
      </w:r>
      <w:r w:rsidRPr="0022418A">
        <w:t>&lt; 0.0001; Two-way ANOVA followed by Tukey Post-Hoc-Test (GraphPad Prism 7).</w:t>
      </w:r>
    </w:p>
    <w:p w14:paraId="3C8F481B" w14:textId="77777777" w:rsidR="00CE6FCA" w:rsidRPr="0022418A" w:rsidRDefault="00CE6FCA" w:rsidP="00CE6FCA">
      <w:pPr>
        <w:pStyle w:val="MDPI52figure"/>
      </w:pPr>
      <w:r w:rsidRPr="0022418A">
        <w:rPr>
          <w:noProof/>
          <w:lang w:val="de-DE" w:bidi="ar-SA"/>
        </w:rPr>
        <w:lastRenderedPageBreak/>
        <w:drawing>
          <wp:inline distT="0" distB="0" distL="0" distR="0" wp14:anchorId="7D507D99" wp14:editId="026BB9D8">
            <wp:extent cx="4520241" cy="4177326"/>
            <wp:effectExtent l="0" t="0" r="0" b="0"/>
            <wp:docPr id="12" name="Bild 12" descr="Figure 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S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29007" cy="4185427"/>
                    </a:xfrm>
                    <a:prstGeom prst="rect">
                      <a:avLst/>
                    </a:prstGeom>
                    <a:noFill/>
                    <a:ln>
                      <a:noFill/>
                    </a:ln>
                  </pic:spPr>
                </pic:pic>
              </a:graphicData>
            </a:graphic>
          </wp:inline>
        </w:drawing>
      </w:r>
    </w:p>
    <w:p w14:paraId="5FCE02DB" w14:textId="0D77EF12" w:rsidR="00CE6FCA" w:rsidRPr="0022418A" w:rsidRDefault="00CE6FCA" w:rsidP="00CE6FCA">
      <w:pPr>
        <w:pStyle w:val="MDPI51figurecaption"/>
      </w:pPr>
      <w:r w:rsidRPr="00CE6FCA">
        <w:rPr>
          <w:b/>
        </w:rPr>
        <w:t xml:space="preserve">Figure </w:t>
      </w:r>
      <w:r>
        <w:rPr>
          <w:b/>
        </w:rPr>
        <w:t>S</w:t>
      </w:r>
      <w:r w:rsidRPr="00CE6FCA">
        <w:rPr>
          <w:b/>
        </w:rPr>
        <w:t xml:space="preserve">6. </w:t>
      </w:r>
      <w:r w:rsidRPr="0022418A">
        <w:t xml:space="preserve">GANT or ATO in combination with </w:t>
      </w:r>
      <w:proofErr w:type="spellStart"/>
      <w:r w:rsidRPr="0022418A">
        <w:t>Gos</w:t>
      </w:r>
      <w:proofErr w:type="spellEnd"/>
      <w:r w:rsidRPr="0022418A">
        <w:t xml:space="preserve"> synergistically induce DNA damage in GSC. Dot-Plots of (</w:t>
      </w:r>
      <w:r w:rsidRPr="0022418A">
        <w:rPr>
          <w:b/>
        </w:rPr>
        <w:t>a</w:t>
      </w:r>
      <w:r w:rsidRPr="0022418A">
        <w:t xml:space="preserve"> and </w:t>
      </w:r>
      <w:r w:rsidRPr="0022418A">
        <w:rPr>
          <w:b/>
        </w:rPr>
        <w:t>c</w:t>
      </w:r>
      <w:r w:rsidRPr="0022418A">
        <w:t>) TP53BP1- or (</w:t>
      </w:r>
      <w:r w:rsidRPr="0022418A">
        <w:rPr>
          <w:b/>
        </w:rPr>
        <w:t>b</w:t>
      </w:r>
      <w:r w:rsidRPr="0022418A">
        <w:t xml:space="preserve"> and </w:t>
      </w:r>
      <w:r w:rsidRPr="0022418A">
        <w:rPr>
          <w:b/>
        </w:rPr>
        <w:t>d</w:t>
      </w:r>
      <w:r w:rsidRPr="0022418A">
        <w:t>) γH2AFX-positive foci per nucleus of (</w:t>
      </w:r>
      <w:r w:rsidRPr="0022418A">
        <w:rPr>
          <w:b/>
        </w:rPr>
        <w:t>a</w:t>
      </w:r>
      <w:r w:rsidRPr="0022418A">
        <w:t xml:space="preserve"> and </w:t>
      </w:r>
      <w:r w:rsidRPr="0022418A">
        <w:rPr>
          <w:b/>
        </w:rPr>
        <w:t>b</w:t>
      </w:r>
      <w:r w:rsidRPr="0022418A">
        <w:t>) GS-3 or (</w:t>
      </w:r>
      <w:r w:rsidRPr="0022418A">
        <w:rPr>
          <w:b/>
        </w:rPr>
        <w:t>c</w:t>
      </w:r>
      <w:r w:rsidRPr="0022418A">
        <w:t xml:space="preserve"> and </w:t>
      </w:r>
      <w:r w:rsidRPr="0022418A">
        <w:rPr>
          <w:b/>
        </w:rPr>
        <w:t>d</w:t>
      </w:r>
      <w:r w:rsidRPr="0022418A">
        <w:t xml:space="preserve">) GS-8 24h after treatment with 5 µM </w:t>
      </w:r>
      <w:proofErr w:type="spellStart"/>
      <w:r w:rsidRPr="0022418A">
        <w:t>Gos</w:t>
      </w:r>
      <w:proofErr w:type="spellEnd"/>
      <w:r w:rsidRPr="0022418A">
        <w:t xml:space="preserve">, 3 µM GANT, 2.5 µM ATO or a combination of GANT and </w:t>
      </w:r>
      <w:proofErr w:type="spellStart"/>
      <w:r w:rsidRPr="0022418A">
        <w:t>Gos</w:t>
      </w:r>
      <w:proofErr w:type="spellEnd"/>
      <w:r w:rsidRPr="0022418A">
        <w:t xml:space="preserve"> (GANT</w:t>
      </w:r>
      <w:r w:rsidR="008C0D26">
        <w:t xml:space="preserve"> </w:t>
      </w:r>
      <w:r w:rsidRPr="0022418A">
        <w:t>+</w:t>
      </w:r>
      <w:r w:rsidR="008C0D26">
        <w:t xml:space="preserve"> </w:t>
      </w:r>
      <w:proofErr w:type="spellStart"/>
      <w:r w:rsidRPr="0022418A">
        <w:t>Gos</w:t>
      </w:r>
      <w:proofErr w:type="spellEnd"/>
      <w:r w:rsidRPr="0022418A">
        <w:t xml:space="preserve">) or ATO and </w:t>
      </w:r>
      <w:proofErr w:type="spellStart"/>
      <w:r w:rsidRPr="0022418A">
        <w:t>Gos</w:t>
      </w:r>
      <w:proofErr w:type="spellEnd"/>
      <w:r w:rsidRPr="0022418A">
        <w:t xml:space="preserve"> (ATO</w:t>
      </w:r>
      <w:r w:rsidR="008C0D26">
        <w:t xml:space="preserve"> </w:t>
      </w:r>
      <w:r w:rsidRPr="0022418A">
        <w:t>+</w:t>
      </w:r>
      <w:r w:rsidR="008C0D26">
        <w:t xml:space="preserve"> </w:t>
      </w:r>
      <w:proofErr w:type="spellStart"/>
      <w:r w:rsidRPr="0022418A">
        <w:t>Gos</w:t>
      </w:r>
      <w:proofErr w:type="spellEnd"/>
      <w:r w:rsidRPr="0022418A">
        <w:t xml:space="preserve">). Each point represents the number of foci per nucleus. The experiments were performed once in triplicates. For each replicate at least 20 nuclei were counted. Statistics were performed using the mean value of each replicate. * </w:t>
      </w:r>
      <w:r w:rsidRPr="008C0D26">
        <w:rPr>
          <w:i/>
        </w:rPr>
        <w:t>p</w:t>
      </w:r>
      <w:r w:rsidR="008C0D26">
        <w:t xml:space="preserve"> </w:t>
      </w:r>
      <w:r w:rsidRPr="0022418A">
        <w:t>&lt;</w:t>
      </w:r>
      <w:r w:rsidR="008C0D26">
        <w:t xml:space="preserve"> </w:t>
      </w:r>
      <w:r w:rsidRPr="0022418A">
        <w:t xml:space="preserve">0.05; ** </w:t>
      </w:r>
      <w:r w:rsidRPr="008C0D26">
        <w:rPr>
          <w:i/>
        </w:rPr>
        <w:t>p</w:t>
      </w:r>
      <w:r w:rsidR="008C0D26">
        <w:t xml:space="preserve"> </w:t>
      </w:r>
      <w:r w:rsidRPr="0022418A">
        <w:t>&lt;</w:t>
      </w:r>
      <w:r w:rsidR="008C0D26">
        <w:t xml:space="preserve"> </w:t>
      </w:r>
      <w:r w:rsidRPr="0022418A">
        <w:t xml:space="preserve">0.01; *** </w:t>
      </w:r>
      <w:r w:rsidRPr="008C0D26">
        <w:rPr>
          <w:i/>
        </w:rPr>
        <w:t>p</w:t>
      </w:r>
      <w:r w:rsidR="008C0D26">
        <w:t xml:space="preserve"> </w:t>
      </w:r>
      <w:r w:rsidRPr="0022418A">
        <w:t>&lt;</w:t>
      </w:r>
      <w:r w:rsidR="008C0D26">
        <w:t xml:space="preserve"> </w:t>
      </w:r>
      <w:r w:rsidRPr="0022418A">
        <w:t xml:space="preserve">0.001; **** </w:t>
      </w:r>
      <w:r w:rsidRPr="008C0D26">
        <w:rPr>
          <w:i/>
        </w:rPr>
        <w:t>p</w:t>
      </w:r>
      <w:r w:rsidR="008C0D26">
        <w:t xml:space="preserve"> </w:t>
      </w:r>
      <w:r w:rsidRPr="0022418A">
        <w:t>&lt;</w:t>
      </w:r>
      <w:r w:rsidR="008C0D26">
        <w:t xml:space="preserve"> </w:t>
      </w:r>
      <w:r w:rsidRPr="0022418A">
        <w:t xml:space="preserve">0.0001 against solvent; # </w:t>
      </w:r>
      <w:r w:rsidRPr="008C0D26">
        <w:rPr>
          <w:i/>
        </w:rPr>
        <w:t>p</w:t>
      </w:r>
      <w:r w:rsidR="008C0D26">
        <w:t xml:space="preserve"> </w:t>
      </w:r>
      <w:r w:rsidRPr="0022418A">
        <w:t>&lt;</w:t>
      </w:r>
      <w:r w:rsidR="008C0D26">
        <w:t xml:space="preserve"> </w:t>
      </w:r>
      <w:r w:rsidRPr="0022418A">
        <w:t>0.05 against both single treatments. One-way ANOVA followed by Tukey Post-Hoc-Test (GraphPad Prism 7).</w:t>
      </w:r>
    </w:p>
    <w:p w14:paraId="38EB5AFE" w14:textId="77777777" w:rsidR="00CE6FCA" w:rsidRPr="0022418A" w:rsidRDefault="00CE6FCA" w:rsidP="00CE6FCA">
      <w:pPr>
        <w:pStyle w:val="MDPI52figure"/>
      </w:pPr>
      <w:bookmarkStart w:id="1" w:name="_GoBack"/>
      <w:r w:rsidRPr="0022418A">
        <w:rPr>
          <w:noProof/>
          <w:snapToGrid/>
          <w:lang w:val="de-DE" w:bidi="ar-SA"/>
        </w:rPr>
        <w:drawing>
          <wp:inline distT="0" distB="0" distL="0" distR="0" wp14:anchorId="2131F11C" wp14:editId="348B0577">
            <wp:extent cx="4193620" cy="2941608"/>
            <wp:effectExtent l="0" t="0" r="0" b="0"/>
            <wp:docPr id="8" name="Grafik 6" descr="U:\01_Projekte\02_Targeting Glioma-stem-like cells (GANT_ATO+Gos)\02_Manuskripte\2018_19\final_submission_05_Cancers\Revision\Figure S7_Rev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01_Projekte\02_Targeting Glioma-stem-like cells (GANT_ATO+Gos)\02_Manuskripte\2018_19\final_submission_05_Cancers\Revision\Figure S7_Rev1.ti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8318" cy="2944903"/>
                    </a:xfrm>
                    <a:prstGeom prst="rect">
                      <a:avLst/>
                    </a:prstGeom>
                    <a:noFill/>
                    <a:ln>
                      <a:noFill/>
                    </a:ln>
                  </pic:spPr>
                </pic:pic>
              </a:graphicData>
            </a:graphic>
          </wp:inline>
        </w:drawing>
      </w:r>
      <w:bookmarkEnd w:id="1"/>
    </w:p>
    <w:p w14:paraId="380E8C87" w14:textId="008DB4B8" w:rsidR="00CE6FCA" w:rsidRPr="0022418A" w:rsidRDefault="00CE6FCA" w:rsidP="00CE6FCA">
      <w:pPr>
        <w:pStyle w:val="MDPI51figurecaption"/>
      </w:pPr>
      <w:r w:rsidRPr="00CE6FCA">
        <w:rPr>
          <w:b/>
        </w:rPr>
        <w:lastRenderedPageBreak/>
        <w:t xml:space="preserve">Figure </w:t>
      </w:r>
      <w:r>
        <w:rPr>
          <w:b/>
        </w:rPr>
        <w:t>S</w:t>
      </w:r>
      <w:r w:rsidRPr="00CE6FCA">
        <w:rPr>
          <w:b/>
        </w:rPr>
        <w:t xml:space="preserve">7. </w:t>
      </w:r>
      <w:r w:rsidRPr="0022418A">
        <w:t xml:space="preserve">ATO treatment reduces stemness properties of GS-8 </w:t>
      </w:r>
      <w:r w:rsidRPr="008C0D26">
        <w:t>in vitro.</w:t>
      </w:r>
      <w:r w:rsidRPr="0022418A">
        <w:t xml:space="preserve"> (</w:t>
      </w:r>
      <w:r w:rsidRPr="0022418A">
        <w:rPr>
          <w:b/>
        </w:rPr>
        <w:t>a</w:t>
      </w:r>
      <w:r w:rsidRPr="0022418A">
        <w:t xml:space="preserve">) Extreme limiting dilution analysis </w:t>
      </w:r>
      <w:r w:rsidRPr="0022418A">
        <w:fldChar w:fldCharType="begin"/>
      </w:r>
      <w:r w:rsidRPr="0022418A">
        <w:instrText xml:space="preserve"> ADDIN EN.CITE &lt;EndNote&gt;&lt;Cite&gt;&lt;Author&gt;Hu&lt;/Author&gt;&lt;Year&gt;2009&lt;/Year&gt;&lt;RecNum&gt;1477&lt;/RecNum&gt;&lt;DisplayText&gt;[34]&lt;/DisplayText&gt;&lt;record&gt;&lt;rec-number&gt;1477&lt;/rec-number&gt;&lt;foreign-keys&gt;&lt;key app="EN" db-id="z0p9fedspwstaueaxvmxztxvd5ftw9zwad5w" timestamp="1519828569"&gt;1477&lt;/key&gt;&lt;/foreign-keys&gt;&lt;ref-type name="Journal Article"&gt;17&lt;/ref-type&gt;&lt;contributors&gt;&lt;authors&gt;&lt;author&gt;Hu, Y.&lt;/author&gt;&lt;author&gt;Smyth, G. K.&lt;/author&gt;&lt;/authors&gt;&lt;/contributors&gt;&lt;auth-address&gt;Bioinformatics Division, The Walter and Eliza Hall Institute of Medical Research, 1G Royal Parade, Parkville, Victoria 3052, Australia.&lt;/auth-address&gt;&lt;titles&gt;&lt;title&gt;ELDA: extreme limiting dilution analysis for comparing depleted and enriched populations in stem cell and other assays&lt;/title&gt;&lt;secondary-title&gt;J Immunol Methods&lt;/secondary-title&gt;&lt;/titles&gt;&lt;periodical&gt;&lt;full-title&gt;J Immunol Methods&lt;/full-title&gt;&lt;/periodical&gt;&lt;pages&gt;70-8&lt;/pages&gt;&lt;volume&gt;347&lt;/volume&gt;&lt;number&gt;1-2&lt;/number&gt;&lt;keywords&gt;&lt;keyword&gt;Animals&lt;/keyword&gt;&lt;keyword&gt;Cell Count&lt;/keyword&gt;&lt;keyword&gt;*Computational Biology&lt;/keyword&gt;&lt;keyword&gt;Humans&lt;/keyword&gt;&lt;keyword&gt;*Indicator Dilution Techniques&lt;/keyword&gt;&lt;keyword&gt;Internet&lt;/keyword&gt;&lt;keyword&gt;Least-Squares Analysis&lt;/keyword&gt;&lt;keyword&gt;Likelihood Functions&lt;/keyword&gt;&lt;keyword&gt;Linear Models&lt;/keyword&gt;&lt;keyword&gt;*Models, Biological&lt;/keyword&gt;&lt;keyword&gt;Poisson Distribution&lt;/keyword&gt;&lt;keyword&gt;Software&lt;/keyword&gt;&lt;keyword&gt;*Stem Cells&lt;/keyword&gt;&lt;keyword&gt;Tumor Cells, Cultured&lt;/keyword&gt;&lt;/keywords&gt;&lt;dates&gt;&lt;year&gt;2009&lt;/year&gt;&lt;pub-dates&gt;&lt;date&gt;Aug 15&lt;/date&gt;&lt;/pub-dates&gt;&lt;/dates&gt;&lt;isbn&gt;1872-7905 (Electronic)&amp;#xD;0022-1759 (Linking)&lt;/isbn&gt;&lt;accession-num&gt;19567251&lt;/accession-num&gt;&lt;urls&gt;&lt;related-urls&gt;&lt;url&gt;https://www.ncbi.nlm.nih.gov/pubmed/19567251&lt;/url&gt;&lt;/related-urls&gt;&lt;/urls&gt;&lt;electronic-resource-num&gt;10.1016/j.jim.2009.06.008&lt;/electronic-resource-num&gt;&lt;/record&gt;&lt;/Cite&gt;&lt;/EndNote&gt;</w:instrText>
      </w:r>
      <w:r w:rsidRPr="0022418A">
        <w:fldChar w:fldCharType="separate"/>
      </w:r>
      <w:r w:rsidRPr="0022418A">
        <w:t>[34]</w:t>
      </w:r>
      <w:r w:rsidRPr="0022418A">
        <w:fldChar w:fldCharType="end"/>
      </w:r>
      <w:r w:rsidRPr="0022418A">
        <w:t xml:space="preserve"> of GS-8 7 days after seeding and treatment with 1 µM ATO, 2.5 µM GANT61 or 0.5 µM </w:t>
      </w:r>
      <w:proofErr w:type="spellStart"/>
      <w:r w:rsidRPr="0022418A">
        <w:t>Gos</w:t>
      </w:r>
      <w:proofErr w:type="spellEnd"/>
      <w:r w:rsidRPr="0022418A">
        <w:t xml:space="preserve"> alone or in </w:t>
      </w:r>
      <w:proofErr w:type="spellStart"/>
      <w:r w:rsidRPr="0022418A">
        <w:t>combinaton</w:t>
      </w:r>
      <w:proofErr w:type="spellEnd"/>
      <w:r w:rsidRPr="0022418A">
        <w:t xml:space="preserve"> of increasing cell numbers (4 to 500 cells). The stem cell frequency calculated by ELDA software </w:t>
      </w:r>
      <w:r w:rsidRPr="0022418A">
        <w:fldChar w:fldCharType="begin"/>
      </w:r>
      <w:r w:rsidRPr="0022418A">
        <w:instrText xml:space="preserve"> ADDIN EN.CITE &lt;EndNote&gt;&lt;Cite&gt;&lt;Author&gt;Hu&lt;/Author&gt;&lt;Year&gt;2009&lt;/Year&gt;&lt;RecNum&gt;1477&lt;/RecNum&gt;&lt;DisplayText&gt;[34]&lt;/DisplayText&gt;&lt;record&gt;&lt;rec-number&gt;1477&lt;/rec-number&gt;&lt;foreign-keys&gt;&lt;key app="EN" db-id="z0p9fedspwstaueaxvmxztxvd5ftw9zwad5w" timestamp="1519828569"&gt;1477&lt;/key&gt;&lt;/foreign-keys&gt;&lt;ref-type name="Journal Article"&gt;17&lt;/ref-type&gt;&lt;contributors&gt;&lt;authors&gt;&lt;author&gt;Hu, Y.&lt;/author&gt;&lt;author&gt;Smyth, G. K.&lt;/author&gt;&lt;/authors&gt;&lt;/contributors&gt;&lt;auth-address&gt;Bioinformatics Division, The Walter and Eliza Hall Institute of Medical Research, 1G Royal Parade, Parkville, Victoria 3052, Australia.&lt;/auth-address&gt;&lt;titles&gt;&lt;title&gt;ELDA: extreme limiting dilution analysis for comparing depleted and enriched populations in stem cell and other assays&lt;/title&gt;&lt;secondary-title&gt;J Immunol Methods&lt;/secondary-title&gt;&lt;/titles&gt;&lt;periodical&gt;&lt;full-title&gt;J Immunol Methods&lt;/full-title&gt;&lt;/periodical&gt;&lt;pages&gt;70-8&lt;/pages&gt;&lt;volume&gt;347&lt;/volume&gt;&lt;number&gt;1-2&lt;/number&gt;&lt;keywords&gt;&lt;keyword&gt;Animals&lt;/keyword&gt;&lt;keyword&gt;Cell Count&lt;/keyword&gt;&lt;keyword&gt;*Computational Biology&lt;/keyword&gt;&lt;keyword&gt;Humans&lt;/keyword&gt;&lt;keyword&gt;*Indicator Dilution Techniques&lt;/keyword&gt;&lt;keyword&gt;Internet&lt;/keyword&gt;&lt;keyword&gt;Least-Squares Analysis&lt;/keyword&gt;&lt;keyword&gt;Likelihood Functions&lt;/keyword&gt;&lt;keyword&gt;Linear Models&lt;/keyword&gt;&lt;keyword&gt;*Models, Biological&lt;/keyword&gt;&lt;keyword&gt;Poisson Distribution&lt;/keyword&gt;&lt;keyword&gt;Software&lt;/keyword&gt;&lt;keyword&gt;*Stem Cells&lt;/keyword&gt;&lt;keyword&gt;Tumor Cells, Cultured&lt;/keyword&gt;&lt;/keywords&gt;&lt;dates&gt;&lt;year&gt;2009&lt;/year&gt;&lt;pub-dates&gt;&lt;date&gt;Aug 15&lt;/date&gt;&lt;/pub-dates&gt;&lt;/dates&gt;&lt;isbn&gt;1872-7905 (Electronic)&amp;#xD;0022-1759 (Linking)&lt;/isbn&gt;&lt;accession-num&gt;19567251&lt;/accession-num&gt;&lt;urls&gt;&lt;related-urls&gt;&lt;url&gt;https://www.ncbi.nlm.nih.gov/pubmed/19567251&lt;/url&gt;&lt;/related-urls&gt;&lt;/urls&gt;&lt;electronic-resource-num&gt;10.1016/j.jim.2009.06.008&lt;/electronic-resource-num&gt;&lt;/record&gt;&lt;/Cite&gt;&lt;/EndNote&gt;</w:instrText>
      </w:r>
      <w:r w:rsidRPr="0022418A">
        <w:fldChar w:fldCharType="separate"/>
      </w:r>
      <w:r w:rsidRPr="0022418A">
        <w:t>[34]</w:t>
      </w:r>
      <w:r w:rsidRPr="0022418A">
        <w:fldChar w:fldCharType="end"/>
      </w:r>
      <w:r w:rsidRPr="0022418A">
        <w:t xml:space="preserve"> is depicted below the graph.</w:t>
      </w:r>
    </w:p>
    <w:p w14:paraId="43CE208D" w14:textId="77777777" w:rsidR="00CE6FCA" w:rsidRPr="0022418A" w:rsidRDefault="00CE6FCA" w:rsidP="00CE6FCA">
      <w:pPr>
        <w:pStyle w:val="MDPI52figure"/>
      </w:pPr>
      <w:r w:rsidRPr="0022418A">
        <w:rPr>
          <w:noProof/>
          <w:snapToGrid/>
          <w:lang w:val="de-DE" w:bidi="ar-SA"/>
        </w:rPr>
        <w:drawing>
          <wp:inline distT="0" distB="0" distL="0" distR="0" wp14:anchorId="4AE74B95" wp14:editId="264B7EA7">
            <wp:extent cx="5610860" cy="5354955"/>
            <wp:effectExtent l="0" t="0" r="8890" b="0"/>
            <wp:docPr id="9" name="Grafik 7" descr="U:\01_Projekte\02_Targeting Glioma-stem-like cells (GANT_ATO+Gos)\02_Manuskripte\2018_19\final_submission_05_Cancers\Revision\Figure S8_Rev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01_Projekte\02_Targeting Glioma-stem-like cells (GANT_ATO+Gos)\02_Manuskripte\2018_19\final_submission_05_Cancers\Revision\Figure S8_Rev1.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10860" cy="5354955"/>
                    </a:xfrm>
                    <a:prstGeom prst="rect">
                      <a:avLst/>
                    </a:prstGeom>
                    <a:noFill/>
                    <a:ln>
                      <a:noFill/>
                    </a:ln>
                  </pic:spPr>
                </pic:pic>
              </a:graphicData>
            </a:graphic>
          </wp:inline>
        </w:drawing>
      </w:r>
    </w:p>
    <w:p w14:paraId="55C392E5" w14:textId="34AABCC2" w:rsidR="00CE6FCA" w:rsidRPr="0022418A" w:rsidRDefault="00CE6FCA" w:rsidP="00CE6FCA">
      <w:pPr>
        <w:pStyle w:val="MDPI51figurecaption"/>
      </w:pPr>
      <w:r w:rsidRPr="007E0075">
        <w:rPr>
          <w:b/>
        </w:rPr>
        <w:t xml:space="preserve">Figure S8. </w:t>
      </w:r>
      <w:r w:rsidRPr="0022418A">
        <w:t xml:space="preserve">ATO treatment reduces stemness properties of GS-3 and GS-8 </w:t>
      </w:r>
      <w:r w:rsidRPr="008C0D26">
        <w:t>in vitro.</w:t>
      </w:r>
      <w:r w:rsidRPr="0022418A">
        <w:t xml:space="preserve"> Dot-Plots displaying the (upper row) sphere volume and (lower row) total number of spheres of primary </w:t>
      </w:r>
      <w:r w:rsidRPr="007E0075">
        <w:rPr>
          <w:spacing w:val="-2"/>
        </w:rPr>
        <w:t>spheres of (</w:t>
      </w:r>
      <w:r w:rsidRPr="007E0075">
        <w:rPr>
          <w:b/>
          <w:spacing w:val="-2"/>
        </w:rPr>
        <w:t>a</w:t>
      </w:r>
      <w:r w:rsidRPr="007E0075">
        <w:rPr>
          <w:spacing w:val="-2"/>
        </w:rPr>
        <w:t xml:space="preserve"> to </w:t>
      </w:r>
      <w:r w:rsidRPr="007E0075">
        <w:rPr>
          <w:b/>
          <w:spacing w:val="-2"/>
        </w:rPr>
        <w:t>c</w:t>
      </w:r>
      <w:r w:rsidRPr="007E0075">
        <w:rPr>
          <w:spacing w:val="-2"/>
        </w:rPr>
        <w:t>) GS-3 and (</w:t>
      </w:r>
      <w:r w:rsidRPr="007E0075">
        <w:rPr>
          <w:b/>
          <w:spacing w:val="-2"/>
        </w:rPr>
        <w:t>d</w:t>
      </w:r>
      <w:r w:rsidRPr="007E0075">
        <w:rPr>
          <w:spacing w:val="-2"/>
        </w:rPr>
        <w:t xml:space="preserve"> to </w:t>
      </w:r>
      <w:r w:rsidRPr="007E0075">
        <w:rPr>
          <w:b/>
          <w:spacing w:val="-2"/>
        </w:rPr>
        <w:t>f</w:t>
      </w:r>
      <w:r w:rsidRPr="007E0075">
        <w:rPr>
          <w:spacing w:val="-2"/>
        </w:rPr>
        <w:t>) GS-8 after measurement of (</w:t>
      </w:r>
      <w:r w:rsidRPr="007E0075">
        <w:rPr>
          <w:b/>
          <w:spacing w:val="-2"/>
        </w:rPr>
        <w:t>a</w:t>
      </w:r>
      <w:r w:rsidRPr="007E0075">
        <w:rPr>
          <w:spacing w:val="-2"/>
        </w:rPr>
        <w:t xml:space="preserve"> and </w:t>
      </w:r>
      <w:r w:rsidRPr="007E0075">
        <w:rPr>
          <w:b/>
          <w:spacing w:val="-2"/>
        </w:rPr>
        <w:t>d</w:t>
      </w:r>
      <w:r w:rsidRPr="007E0075">
        <w:rPr>
          <w:spacing w:val="-2"/>
        </w:rPr>
        <w:t>) primary sphere formation, (</w:t>
      </w:r>
      <w:r w:rsidRPr="007E0075">
        <w:rPr>
          <w:b/>
          <w:spacing w:val="-2"/>
        </w:rPr>
        <w:t>b</w:t>
      </w:r>
      <w:r w:rsidRPr="0022418A">
        <w:t xml:space="preserve"> </w:t>
      </w:r>
      <w:r w:rsidRPr="007E0075">
        <w:rPr>
          <w:spacing w:val="-4"/>
        </w:rPr>
        <w:t xml:space="preserve">and </w:t>
      </w:r>
      <w:r w:rsidRPr="007E0075">
        <w:rPr>
          <w:b/>
          <w:spacing w:val="-4"/>
        </w:rPr>
        <w:t>e</w:t>
      </w:r>
      <w:r w:rsidRPr="007E0075">
        <w:rPr>
          <w:spacing w:val="-4"/>
        </w:rPr>
        <w:t>) sphere recovery and (</w:t>
      </w:r>
      <w:r w:rsidRPr="007E0075">
        <w:rPr>
          <w:b/>
          <w:spacing w:val="-4"/>
        </w:rPr>
        <w:t>c</w:t>
      </w:r>
      <w:r w:rsidRPr="007E0075">
        <w:rPr>
          <w:spacing w:val="-4"/>
        </w:rPr>
        <w:t xml:space="preserve"> and </w:t>
      </w:r>
      <w:r w:rsidRPr="007E0075">
        <w:rPr>
          <w:b/>
          <w:spacing w:val="-4"/>
        </w:rPr>
        <w:t>f</w:t>
      </w:r>
      <w:r w:rsidRPr="007E0075">
        <w:rPr>
          <w:spacing w:val="-4"/>
        </w:rPr>
        <w:t>) secondary sphere formation. Horizontal lines are the median ±</w:t>
      </w:r>
      <w:r w:rsidRPr="0022418A">
        <w:t xml:space="preserve"> 95% confidence intervals. Limiting dilution assays were performed three times in 12 biological replicates. Sphere formation assays were performed twice in triplicates and three vision fields were analyzed for each biological replicate. * </w:t>
      </w:r>
      <w:r w:rsidRPr="008C0D26">
        <w:rPr>
          <w:i/>
        </w:rPr>
        <w:t>p</w:t>
      </w:r>
      <w:r w:rsidR="008C0D26">
        <w:t xml:space="preserve"> </w:t>
      </w:r>
      <w:r w:rsidRPr="0022418A">
        <w:t>&lt;</w:t>
      </w:r>
      <w:r w:rsidR="008C0D26">
        <w:t xml:space="preserve"> </w:t>
      </w:r>
      <w:r w:rsidRPr="0022418A">
        <w:t xml:space="preserve">0.05; ** </w:t>
      </w:r>
      <w:r w:rsidRPr="008C0D26">
        <w:rPr>
          <w:i/>
        </w:rPr>
        <w:t>p</w:t>
      </w:r>
      <w:r w:rsidR="008C0D26">
        <w:t xml:space="preserve"> </w:t>
      </w:r>
      <w:r w:rsidRPr="0022418A">
        <w:t>&lt;</w:t>
      </w:r>
      <w:r w:rsidR="008C0D26">
        <w:t xml:space="preserve"> </w:t>
      </w:r>
      <w:r w:rsidRPr="0022418A">
        <w:t xml:space="preserve">0.01; *** </w:t>
      </w:r>
      <w:r w:rsidRPr="008C0D26">
        <w:rPr>
          <w:i/>
        </w:rPr>
        <w:t>p</w:t>
      </w:r>
      <w:r w:rsidR="008C0D26">
        <w:t xml:space="preserve"> </w:t>
      </w:r>
      <w:r w:rsidRPr="0022418A">
        <w:t>&lt;</w:t>
      </w:r>
      <w:r w:rsidR="008C0D26">
        <w:t xml:space="preserve"> </w:t>
      </w:r>
      <w:r w:rsidRPr="0022418A">
        <w:t xml:space="preserve">0.001; **** </w:t>
      </w:r>
      <w:r w:rsidRPr="008C0D26">
        <w:rPr>
          <w:i/>
        </w:rPr>
        <w:t>p</w:t>
      </w:r>
      <w:r w:rsidR="008C0D26">
        <w:t xml:space="preserve"> </w:t>
      </w:r>
      <w:r w:rsidRPr="0022418A">
        <w:t>&lt;</w:t>
      </w:r>
      <w:r w:rsidR="008C0D26">
        <w:t xml:space="preserve"> </w:t>
      </w:r>
      <w:r w:rsidRPr="0022418A">
        <w:t>0.0001; One-way ANOVA followed by Tukey Post-Hoc-Test (GraphPad Prism 7)</w:t>
      </w:r>
      <w:r>
        <w:t>.</w:t>
      </w:r>
    </w:p>
    <w:p w14:paraId="23B0E0F7" w14:textId="77777777" w:rsidR="00CE6FCA" w:rsidRPr="0022418A" w:rsidRDefault="00CE6FCA" w:rsidP="007E0075">
      <w:pPr>
        <w:pStyle w:val="MDPI52figure"/>
      </w:pPr>
      <w:r w:rsidRPr="0022418A">
        <w:rPr>
          <w:noProof/>
          <w:lang w:val="de-DE"/>
        </w:rPr>
        <w:lastRenderedPageBreak/>
        <w:drawing>
          <wp:inline distT="0" distB="0" distL="0" distR="0" wp14:anchorId="1A6E2855" wp14:editId="0F0DFA3B">
            <wp:extent cx="4676775" cy="7924800"/>
            <wp:effectExtent l="0" t="0" r="9525" b="0"/>
            <wp:docPr id="14" name="Bild 14" descr="Figure 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S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76775" cy="7924800"/>
                    </a:xfrm>
                    <a:prstGeom prst="rect">
                      <a:avLst/>
                    </a:prstGeom>
                    <a:noFill/>
                    <a:ln>
                      <a:noFill/>
                    </a:ln>
                  </pic:spPr>
                </pic:pic>
              </a:graphicData>
            </a:graphic>
          </wp:inline>
        </w:drawing>
      </w:r>
    </w:p>
    <w:p w14:paraId="53B323B8" w14:textId="398F578C" w:rsidR="00CE6FCA" w:rsidRPr="0022418A" w:rsidRDefault="007E0075" w:rsidP="007E0075">
      <w:pPr>
        <w:pStyle w:val="MDPI51figurecaption"/>
      </w:pPr>
      <w:r w:rsidRPr="007E0075">
        <w:rPr>
          <w:b/>
        </w:rPr>
        <w:t xml:space="preserve">Figure </w:t>
      </w:r>
      <w:r>
        <w:rPr>
          <w:b/>
        </w:rPr>
        <w:t>S</w:t>
      </w:r>
      <w:r w:rsidRPr="007E0075">
        <w:rPr>
          <w:b/>
        </w:rPr>
        <w:t>9.</w:t>
      </w:r>
      <w:r w:rsidR="00CE6FCA" w:rsidRPr="007E0075">
        <w:rPr>
          <w:b/>
        </w:rPr>
        <w:t xml:space="preserve"> </w:t>
      </w:r>
      <w:r w:rsidR="00CE6FCA" w:rsidRPr="00C61D24">
        <w:t>ATO and ATO/</w:t>
      </w:r>
      <w:proofErr w:type="spellStart"/>
      <w:r w:rsidR="00CE6FCA" w:rsidRPr="00C61D24">
        <w:t>Gos</w:t>
      </w:r>
      <w:proofErr w:type="spellEnd"/>
      <w:r w:rsidR="00CE6FCA" w:rsidRPr="00C61D24">
        <w:t xml:space="preserve"> decrease tumor size in adult OTC transplantation experiments of GS-8</w:t>
      </w:r>
      <w:r w:rsidR="00CE6FCA" w:rsidRPr="0022418A">
        <w:t xml:space="preserve"> GFP-Luc and 17/02. (</w:t>
      </w:r>
      <w:r w:rsidR="00CE6FCA" w:rsidRPr="0022418A">
        <w:rPr>
          <w:b/>
        </w:rPr>
        <w:t>a</w:t>
      </w:r>
      <w:r w:rsidR="00CE6FCA" w:rsidRPr="0022418A">
        <w:t xml:space="preserve"> and </w:t>
      </w:r>
      <w:r w:rsidR="00CE6FCA" w:rsidRPr="0022418A">
        <w:rPr>
          <w:b/>
        </w:rPr>
        <w:t>b</w:t>
      </w:r>
      <w:r w:rsidR="00CE6FCA" w:rsidRPr="0022418A">
        <w:t>) Representative images of tumors of (</w:t>
      </w:r>
      <w:r w:rsidR="00CE6FCA" w:rsidRPr="0022418A">
        <w:rPr>
          <w:b/>
        </w:rPr>
        <w:t>a</w:t>
      </w:r>
      <w:r w:rsidR="00CE6FCA" w:rsidRPr="0022418A">
        <w:t>) GS-8 GFP-Luc and (</w:t>
      </w:r>
      <w:r w:rsidR="00CE6FCA" w:rsidRPr="0022418A">
        <w:rPr>
          <w:b/>
        </w:rPr>
        <w:t>b</w:t>
      </w:r>
      <w:r w:rsidR="00CE6FCA" w:rsidRPr="0022418A">
        <w:t xml:space="preserve">) </w:t>
      </w:r>
      <w:proofErr w:type="spellStart"/>
      <w:r w:rsidR="00CE6FCA" w:rsidRPr="0022418A">
        <w:t>CellTracker</w:t>
      </w:r>
      <w:proofErr w:type="spellEnd"/>
      <w:r w:rsidR="00CE6FCA" w:rsidRPr="0022418A">
        <w:t xml:space="preserve"> CM </w:t>
      </w:r>
      <w:proofErr w:type="spellStart"/>
      <w:r w:rsidR="00CE6FCA" w:rsidRPr="0022418A">
        <w:t>Dil</w:t>
      </w:r>
      <w:proofErr w:type="spellEnd"/>
      <w:r w:rsidR="00CE6FCA" w:rsidRPr="0022418A">
        <w:t>-labeled primary cultures 17/02 grown on adult OTCs after treatment with solvent (DMSO) or ATO/</w:t>
      </w:r>
      <w:proofErr w:type="spellStart"/>
      <w:r w:rsidR="00CE6FCA" w:rsidRPr="0022418A">
        <w:t>Gos</w:t>
      </w:r>
      <w:proofErr w:type="spellEnd"/>
      <w:r w:rsidR="00CE6FCA" w:rsidRPr="0022418A">
        <w:t>; scale bar: 500 µm. (</w:t>
      </w:r>
      <w:r w:rsidR="00CE6FCA" w:rsidRPr="0022418A">
        <w:rPr>
          <w:b/>
        </w:rPr>
        <w:t>c</w:t>
      </w:r>
      <w:r w:rsidR="00CE6FCA" w:rsidRPr="0022418A">
        <w:t xml:space="preserve"> and </w:t>
      </w:r>
      <w:r w:rsidR="00CE6FCA" w:rsidRPr="0022418A">
        <w:rPr>
          <w:b/>
        </w:rPr>
        <w:t>d</w:t>
      </w:r>
      <w:r w:rsidR="00CE6FCA" w:rsidRPr="0022418A">
        <w:t>) Growth kinetic of (</w:t>
      </w:r>
      <w:r w:rsidR="00CE6FCA" w:rsidRPr="0022418A">
        <w:rPr>
          <w:b/>
        </w:rPr>
        <w:t>c</w:t>
      </w:r>
      <w:r w:rsidR="00CE6FCA" w:rsidRPr="0022418A">
        <w:t>) GS-8 GFP-Luc or (</w:t>
      </w:r>
      <w:r w:rsidR="00CE6FCA" w:rsidRPr="0022418A">
        <w:rPr>
          <w:b/>
        </w:rPr>
        <w:t>d</w:t>
      </w:r>
      <w:r w:rsidR="00CE6FCA" w:rsidRPr="0022418A">
        <w:t xml:space="preserve">) 17/02 tumors over time after treatment with solvent (DMSO, white), 2.5 µM GANT (pink), 2.5 µM </w:t>
      </w:r>
      <w:r w:rsidR="00CE6FCA" w:rsidRPr="0022418A">
        <w:lastRenderedPageBreak/>
        <w:t xml:space="preserve">ATO (light blue) or 5 µM </w:t>
      </w:r>
      <w:proofErr w:type="spellStart"/>
      <w:r w:rsidR="00CE6FCA" w:rsidRPr="0022418A">
        <w:t>Gos</w:t>
      </w:r>
      <w:proofErr w:type="spellEnd"/>
      <w:r w:rsidR="00CE6FCA" w:rsidRPr="0022418A">
        <w:t xml:space="preserve"> (black) or GANT/</w:t>
      </w:r>
      <w:proofErr w:type="spellStart"/>
      <w:r w:rsidR="00CE6FCA" w:rsidRPr="0022418A">
        <w:t>Gos</w:t>
      </w:r>
      <w:proofErr w:type="spellEnd"/>
      <w:r w:rsidR="00CE6FCA" w:rsidRPr="0022418A">
        <w:t xml:space="preserve"> (red) or ATO/</w:t>
      </w:r>
      <w:proofErr w:type="spellStart"/>
      <w:r w:rsidR="00CE6FCA" w:rsidRPr="0022418A">
        <w:t>Gos</w:t>
      </w:r>
      <w:proofErr w:type="spellEnd"/>
      <w:r w:rsidR="00CE6FCA" w:rsidRPr="0022418A">
        <w:t xml:space="preserve"> (blue). (E and F) Bar graph for selected time point displaying the mean (+ SEM) tumor size of (</w:t>
      </w:r>
      <w:r w:rsidR="00CE6FCA" w:rsidRPr="0022418A">
        <w:rPr>
          <w:b/>
        </w:rPr>
        <w:t>e</w:t>
      </w:r>
      <w:r w:rsidR="00CE6FCA" w:rsidRPr="0022418A">
        <w:t>) GS-8 GFP-Luc and (</w:t>
      </w:r>
      <w:r w:rsidR="00CE6FCA" w:rsidRPr="0022418A">
        <w:rPr>
          <w:b/>
        </w:rPr>
        <w:t>f</w:t>
      </w:r>
      <w:r w:rsidR="00CE6FCA" w:rsidRPr="0022418A">
        <w:t xml:space="preserve">) 17/02. * </w:t>
      </w:r>
      <w:r w:rsidR="00CE6FCA" w:rsidRPr="003511D8">
        <w:rPr>
          <w:i/>
        </w:rPr>
        <w:t>p</w:t>
      </w:r>
      <w:r w:rsidR="003511D8">
        <w:t xml:space="preserve"> </w:t>
      </w:r>
      <w:r w:rsidR="00CE6FCA" w:rsidRPr="0022418A">
        <w:t>&lt;</w:t>
      </w:r>
      <w:r w:rsidR="003511D8">
        <w:t xml:space="preserve"> </w:t>
      </w:r>
      <w:r w:rsidR="00CE6FCA" w:rsidRPr="0022418A">
        <w:t xml:space="preserve">0.05; ** </w:t>
      </w:r>
      <w:r w:rsidR="00CE6FCA" w:rsidRPr="003511D8">
        <w:rPr>
          <w:i/>
        </w:rPr>
        <w:t>p</w:t>
      </w:r>
      <w:r w:rsidR="008C0D26">
        <w:rPr>
          <w:i/>
        </w:rPr>
        <w:t xml:space="preserve"> </w:t>
      </w:r>
      <w:r w:rsidR="00CE6FCA" w:rsidRPr="0022418A">
        <w:t>&lt;</w:t>
      </w:r>
      <w:r w:rsidR="008C0D26">
        <w:t xml:space="preserve"> </w:t>
      </w:r>
      <w:r w:rsidR="00CE6FCA" w:rsidRPr="0022418A">
        <w:t xml:space="preserve">0.01; *** </w:t>
      </w:r>
      <w:r w:rsidR="00CE6FCA" w:rsidRPr="003511D8">
        <w:rPr>
          <w:i/>
        </w:rPr>
        <w:t>p</w:t>
      </w:r>
      <w:r w:rsidR="003511D8">
        <w:rPr>
          <w:i/>
        </w:rPr>
        <w:t xml:space="preserve"> </w:t>
      </w:r>
      <w:r w:rsidR="00CE6FCA" w:rsidRPr="0022418A">
        <w:t>&lt;</w:t>
      </w:r>
      <w:r w:rsidR="003511D8">
        <w:t xml:space="preserve"> </w:t>
      </w:r>
      <w:r w:rsidR="00CE6FCA" w:rsidRPr="0022418A">
        <w:t xml:space="preserve">0.001; **** </w:t>
      </w:r>
      <w:r w:rsidR="00CE6FCA" w:rsidRPr="003511D8">
        <w:rPr>
          <w:i/>
        </w:rPr>
        <w:t>p</w:t>
      </w:r>
      <w:r w:rsidR="003511D8">
        <w:t xml:space="preserve"> </w:t>
      </w:r>
      <w:r w:rsidR="00CE6FCA" w:rsidRPr="0022418A">
        <w:t>&lt;</w:t>
      </w:r>
      <w:r w:rsidR="003511D8">
        <w:t xml:space="preserve"> </w:t>
      </w:r>
      <w:r w:rsidR="00CE6FCA" w:rsidRPr="0022418A">
        <w:t>0.0001 compared to DMSO for each time-point. One-way ANOVA followed by Tukey Post-Hoc-Test (GraphPad Prism 7)</w:t>
      </w:r>
      <w:r w:rsidR="00CE6FCA">
        <w:t>.</w:t>
      </w:r>
    </w:p>
    <w:p w14:paraId="42DB9BC2" w14:textId="77777777" w:rsidR="00672C04" w:rsidRPr="00CE6FCA" w:rsidRDefault="00672C04" w:rsidP="00F71A8C">
      <w:pPr>
        <w:pStyle w:val="MDPI71References"/>
        <w:numPr>
          <w:ilvl w:val="0"/>
          <w:numId w:val="0"/>
        </w:numPr>
        <w:spacing w:after="240"/>
        <w:rPr>
          <w:rFonts w:eastAsia="宋体"/>
        </w:rPr>
      </w:pPr>
    </w:p>
    <w:p w14:paraId="7DF349B3" w14:textId="77777777" w:rsidR="00672C04" w:rsidRPr="00CE6FCA" w:rsidRDefault="00672C04" w:rsidP="00672C04">
      <w:pPr>
        <w:widowControl/>
        <w:spacing w:line="260" w:lineRule="atLeast"/>
        <w:jc w:val="both"/>
        <w:rPr>
          <w:rFonts w:ascii="Palatino Linotype" w:eastAsia="宋体" w:hAnsi="Palatino Linotype" w:cs="Times New Roman"/>
          <w:sz w:val="18"/>
          <w:szCs w:val="20"/>
          <w:lang w:eastAsia="zh-CN"/>
        </w:rPr>
      </w:pPr>
      <w:r w:rsidRPr="00CE6FCA">
        <w:rPr>
          <w:rFonts w:ascii="Palatino Linotype" w:eastAsia="宋体" w:hAnsi="Palatino Linotype" w:cs="Times New Roman"/>
          <w:noProof/>
          <w:sz w:val="18"/>
          <w:szCs w:val="20"/>
          <w:lang w:eastAsia="zh-CN"/>
        </w:rPr>
        <w:t>© 2019 by the authors. Licensee MDPI, Basel, Switzerland. This article is an open access article distributed under the terms and conditions of the Creative Commons Attribution (CC BY) license (http://creativecommons.org/licenses/by/4.0/).</w:t>
      </w:r>
      <w:r w:rsidRPr="00CE6FCA">
        <w:rPr>
          <w:rFonts w:ascii="Palatino Linotype" w:eastAsia="宋体" w:hAnsi="Palatino Linotype" w:cs="Times New Roman"/>
          <w:noProof/>
          <w:sz w:val="18"/>
          <w:szCs w:val="20"/>
          <w:lang w:val="de-DE" w:eastAsia="de-DE"/>
        </w:rPr>
        <w:drawing>
          <wp:anchor distT="0" distB="0" distL="114300" distR="114300" simplePos="0" relativeHeight="251659264" behindDoc="1" locked="0" layoutInCell="1" allowOverlap="1" wp14:anchorId="55FE7F7E" wp14:editId="1F6DEC40">
            <wp:simplePos x="0" y="0"/>
            <wp:positionH relativeFrom="column">
              <wp:posOffset>2540</wp:posOffset>
            </wp:positionH>
            <wp:positionV relativeFrom="paragraph">
              <wp:posOffset>91440</wp:posOffset>
            </wp:positionV>
            <wp:extent cx="1000800" cy="360000"/>
            <wp:effectExtent l="0" t="0" r="0" b="2540"/>
            <wp:wrapTight wrapText="bothSides">
              <wp:wrapPolygon edited="0">
                <wp:start x="0" y="0"/>
                <wp:lineTo x="0" y="20608"/>
                <wp:lineTo x="20970" y="20608"/>
                <wp:lineTo x="20970" y="0"/>
                <wp:lineTo x="0" y="0"/>
              </wp:wrapPolygon>
            </wp:wrapTight>
            <wp:docPr id="6" name="Picture 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00800" cy="360000"/>
                    </a:xfrm>
                    <a:prstGeom prst="rect">
                      <a:avLst/>
                    </a:prstGeom>
                  </pic:spPr>
                </pic:pic>
              </a:graphicData>
            </a:graphic>
            <wp14:sizeRelH relativeFrom="margin">
              <wp14:pctWidth>0</wp14:pctWidth>
            </wp14:sizeRelH>
            <wp14:sizeRelV relativeFrom="margin">
              <wp14:pctHeight>0</wp14:pctHeight>
            </wp14:sizeRelV>
          </wp:anchor>
        </w:drawing>
      </w:r>
    </w:p>
    <w:p w14:paraId="795F4B44" w14:textId="77777777" w:rsidR="00672C04" w:rsidRPr="00CE6FCA" w:rsidRDefault="00672C04" w:rsidP="00F71A8C">
      <w:pPr>
        <w:pStyle w:val="MDPI71References"/>
        <w:numPr>
          <w:ilvl w:val="0"/>
          <w:numId w:val="0"/>
        </w:numPr>
        <w:spacing w:after="240"/>
        <w:rPr>
          <w:rFonts w:eastAsia="宋体"/>
        </w:rPr>
      </w:pPr>
    </w:p>
    <w:sectPr w:rsidR="00672C04" w:rsidRPr="00CE6FCA" w:rsidSect="00672C04">
      <w:headerReference w:type="even" r:id="rId17"/>
      <w:headerReference w:type="default" r:id="rId18"/>
      <w:footerReference w:type="default" r:id="rId19"/>
      <w:headerReference w:type="first" r:id="rId20"/>
      <w:footerReference w:type="first" r:id="rId21"/>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56E471" w14:textId="77777777" w:rsidR="000837C5" w:rsidRDefault="000837C5">
      <w:r>
        <w:separator/>
      </w:r>
    </w:p>
  </w:endnote>
  <w:endnote w:type="continuationSeparator" w:id="0">
    <w:p w14:paraId="4CCE1013" w14:textId="77777777" w:rsidR="000837C5" w:rsidRDefault="000837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EB6145" w14:textId="77777777" w:rsidR="00AF7CE2" w:rsidRPr="00164C5C" w:rsidRDefault="00AF7CE2" w:rsidP="00AF7CE2">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B78040" w14:textId="77777777" w:rsidR="00AF7CE2" w:rsidRPr="008B308E" w:rsidRDefault="00AF7CE2" w:rsidP="00AF7CE2">
    <w:pPr>
      <w:pStyle w:val="MDPIfooterfirstpage"/>
      <w:spacing w:line="240" w:lineRule="auto"/>
      <w:jc w:val="both"/>
      <w:rPr>
        <w:lang w:val="fr-CH"/>
      </w:rPr>
    </w:pPr>
    <w:r>
      <w:rPr>
        <w:i/>
      </w:rPr>
      <w:t xml:space="preserve">Cancers </w:t>
    </w:r>
    <w:r w:rsidR="00F71A8C" w:rsidRPr="00F71A8C">
      <w:rPr>
        <w:b/>
      </w:rPr>
      <w:t>2019</w:t>
    </w:r>
    <w:r w:rsidR="00F71A8C" w:rsidRPr="00F71A8C">
      <w:t xml:space="preserve">, </w:t>
    </w:r>
    <w:r w:rsidR="00F71A8C" w:rsidRPr="00F71A8C">
      <w:rPr>
        <w:i/>
      </w:rPr>
      <w:t>11</w:t>
    </w:r>
    <w:r w:rsidR="00F71A8C" w:rsidRPr="00F71A8C">
      <w:t xml:space="preserve">, </w:t>
    </w:r>
    <w:r w:rsidR="00534C4A">
      <w:t xml:space="preserve">x; </w:t>
    </w:r>
    <w:proofErr w:type="spellStart"/>
    <w:r w:rsidR="00534C4A">
      <w:t>doi</w:t>
    </w:r>
    <w:proofErr w:type="spellEnd"/>
    <w:r w:rsidR="00534C4A">
      <w:t>: FOR PEER REVIEW</w:t>
    </w:r>
    <w:r w:rsidR="00874B5B" w:rsidRPr="008B308E">
      <w:rPr>
        <w:lang w:val="fr-CH"/>
      </w:rPr>
      <w:tab/>
    </w:r>
    <w:r w:rsidRPr="008B308E">
      <w:rPr>
        <w:lang w:val="fr-CH"/>
      </w:rPr>
      <w:t>www.mdpi.com/journal/</w:t>
    </w:r>
    <w:r w:rsidRPr="00511F0B">
      <w:t>cancers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5C7EAE" w14:textId="77777777" w:rsidR="000837C5" w:rsidRDefault="000837C5">
      <w:r>
        <w:separator/>
      </w:r>
    </w:p>
  </w:footnote>
  <w:footnote w:type="continuationSeparator" w:id="0">
    <w:p w14:paraId="12569ECC" w14:textId="77777777" w:rsidR="000837C5" w:rsidRDefault="000837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54753B" w14:textId="77777777" w:rsidR="00AF7CE2" w:rsidRDefault="00AF7CE2" w:rsidP="00AF7CE2">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BBE6F1" w14:textId="5A681BF2" w:rsidR="00AF7CE2" w:rsidRPr="00836BB8" w:rsidRDefault="00AF7CE2" w:rsidP="006D37E0">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00F71A8C" w:rsidRPr="00F71A8C">
      <w:rPr>
        <w:rFonts w:ascii="Palatino Linotype" w:hAnsi="Palatino Linotype"/>
        <w:b/>
        <w:sz w:val="16"/>
      </w:rPr>
      <w:t>2019</w:t>
    </w:r>
    <w:r w:rsidR="00F71A8C" w:rsidRPr="00F71A8C">
      <w:rPr>
        <w:rFonts w:ascii="Palatino Linotype" w:hAnsi="Palatino Linotype"/>
        <w:sz w:val="16"/>
      </w:rPr>
      <w:t xml:space="preserve">, </w:t>
    </w:r>
    <w:r w:rsidR="00F71A8C" w:rsidRPr="00F71A8C">
      <w:rPr>
        <w:rFonts w:ascii="Palatino Linotype" w:hAnsi="Palatino Linotype"/>
        <w:i/>
        <w:sz w:val="16"/>
      </w:rPr>
      <w:t>11</w:t>
    </w:r>
    <w:r w:rsidR="00534C4A">
      <w:rPr>
        <w:rFonts w:ascii="Palatino Linotype" w:hAnsi="Palatino Linotype"/>
        <w:sz w:val="16"/>
      </w:rPr>
      <w:t>, x</w:t>
    </w:r>
    <w:r w:rsidR="00874B5B">
      <w:rPr>
        <w:rFonts w:ascii="Palatino Linotype" w:hAnsi="Palatino Linotype"/>
        <w:sz w:val="16"/>
      </w:rPr>
      <w:tab/>
    </w:r>
    <w:r w:rsidR="00672C04">
      <w:rPr>
        <w:rFonts w:ascii="Palatino Linotype" w:hAnsi="Palatino Linotype"/>
        <w:sz w:val="16"/>
      </w:rPr>
      <w:t>S</w:t>
    </w:r>
    <w:r w:rsidR="00534C4A">
      <w:rPr>
        <w:rFonts w:ascii="Palatino Linotype" w:hAnsi="Palatino Linotype"/>
        <w:sz w:val="16"/>
      </w:rPr>
      <w:fldChar w:fldCharType="begin"/>
    </w:r>
    <w:r w:rsidR="00534C4A">
      <w:rPr>
        <w:rFonts w:ascii="Palatino Linotype" w:hAnsi="Palatino Linotype"/>
        <w:sz w:val="16"/>
      </w:rPr>
      <w:instrText xml:space="preserve"> PAGE   \* MERGEFORMAT </w:instrText>
    </w:r>
    <w:r w:rsidR="00534C4A">
      <w:rPr>
        <w:rFonts w:ascii="Palatino Linotype" w:hAnsi="Palatino Linotype"/>
        <w:sz w:val="16"/>
      </w:rPr>
      <w:fldChar w:fldCharType="separate"/>
    </w:r>
    <w:r w:rsidR="00C61D24">
      <w:rPr>
        <w:rFonts w:ascii="Palatino Linotype" w:hAnsi="Palatino Linotype"/>
        <w:noProof/>
        <w:sz w:val="16"/>
      </w:rPr>
      <w:t>2</w:t>
    </w:r>
    <w:r w:rsidR="00534C4A">
      <w:rPr>
        <w:rFonts w:ascii="Palatino Linotype" w:hAnsi="Palatino Linotype"/>
        <w:sz w:val="16"/>
      </w:rPr>
      <w:fldChar w:fldCharType="end"/>
    </w:r>
    <w:r w:rsidR="00534C4A">
      <w:rPr>
        <w:rFonts w:ascii="Palatino Linotype" w:hAnsi="Palatino Linotype"/>
        <w:sz w:val="16"/>
      </w:rPr>
      <w:t xml:space="preserve"> of </w:t>
    </w:r>
    <w:r w:rsidR="00672C04">
      <w:rPr>
        <w:rFonts w:ascii="Palatino Linotype" w:hAnsi="Palatino Linotype"/>
        <w:sz w:val="16"/>
      </w:rPr>
      <w:t>S</w:t>
    </w:r>
    <w:r w:rsidR="00534C4A">
      <w:rPr>
        <w:rFonts w:ascii="Palatino Linotype" w:hAnsi="Palatino Linotype"/>
        <w:sz w:val="16"/>
      </w:rPr>
      <w:fldChar w:fldCharType="begin"/>
    </w:r>
    <w:r w:rsidR="00534C4A">
      <w:rPr>
        <w:rFonts w:ascii="Palatino Linotype" w:hAnsi="Palatino Linotype"/>
        <w:sz w:val="16"/>
      </w:rPr>
      <w:instrText xml:space="preserve"> NUMPAGES   \* MERGEFORMAT </w:instrText>
    </w:r>
    <w:r w:rsidR="00534C4A">
      <w:rPr>
        <w:rFonts w:ascii="Palatino Linotype" w:hAnsi="Palatino Linotype"/>
        <w:sz w:val="16"/>
      </w:rPr>
      <w:fldChar w:fldCharType="separate"/>
    </w:r>
    <w:r w:rsidR="00C61D24">
      <w:rPr>
        <w:rFonts w:ascii="Palatino Linotype" w:hAnsi="Palatino Linotype"/>
        <w:noProof/>
        <w:sz w:val="16"/>
      </w:rPr>
      <w:t>9</w:t>
    </w:r>
    <w:r w:rsidR="00534C4A">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C5F0D2" w14:textId="77777777" w:rsidR="00AF7CE2" w:rsidRDefault="008D4582" w:rsidP="00AF7CE2">
    <w:pPr>
      <w:pStyle w:val="MDPIheaderjournallogo"/>
    </w:pPr>
    <w:r w:rsidRPr="00A04686">
      <w:rPr>
        <w:noProof/>
        <w:lang w:val="de-DE" w:eastAsia="de-DE"/>
      </w:rPr>
      <w:drawing>
        <wp:inline distT="0" distB="0" distL="0" distR="0" wp14:anchorId="6EA9D330" wp14:editId="0417CF94">
          <wp:extent cx="1682750" cy="431800"/>
          <wp:effectExtent l="0" t="0" r="0" b="6350"/>
          <wp:docPr id="2" name="Picture 3" descr="C:\Users\home\Desktop\logos\cance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cance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2750" cy="431800"/>
                  </a:xfrm>
                  <a:prstGeom prst="rect">
                    <a:avLst/>
                  </a:prstGeom>
                  <a:noFill/>
                  <a:ln>
                    <a:noFill/>
                  </a:ln>
                </pic:spPr>
              </pic:pic>
            </a:graphicData>
          </a:graphic>
        </wp:inline>
      </w:drawing>
    </w:r>
    <w:r w:rsidRPr="002751C4">
      <w:rPr>
        <w:i w:val="0"/>
        <w:noProof/>
        <w:szCs w:val="16"/>
        <w:lang w:val="de-DE" w:eastAsia="de-DE"/>
      </w:rPr>
      <mc:AlternateContent>
        <mc:Choice Requires="wps">
          <w:drawing>
            <wp:anchor distT="45720" distB="45720" distL="114300" distR="114300" simplePos="0" relativeHeight="251657728" behindDoc="1" locked="0" layoutInCell="1" allowOverlap="1" wp14:anchorId="20830D0D" wp14:editId="5E986C9C">
              <wp:simplePos x="0" y="0"/>
              <wp:positionH relativeFrom="page">
                <wp:posOffset>6029960</wp:posOffset>
              </wp:positionH>
              <wp:positionV relativeFrom="page">
                <wp:posOffset>647700</wp:posOffset>
              </wp:positionV>
              <wp:extent cx="540385" cy="709295"/>
              <wp:effectExtent l="0" t="0" r="317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9295"/>
                      </a:xfrm>
                      <a:prstGeom prst="rect">
                        <a:avLst/>
                      </a:prstGeom>
                      <a:solidFill>
                        <a:srgbClr val="FFFFFF"/>
                      </a:solidFill>
                      <a:ln w="9525">
                        <a:noFill/>
                        <a:miter lim="800000"/>
                        <a:headEnd/>
                        <a:tailEnd/>
                      </a:ln>
                    </wps:spPr>
                    <wps:txbx>
                      <w:txbxContent>
                        <w:p w14:paraId="188B820D" w14:textId="77777777" w:rsidR="00AF7CE2" w:rsidRDefault="008D4582" w:rsidP="00AF7CE2">
                          <w:pPr>
                            <w:pStyle w:val="MDPIheaderjournallogo"/>
                            <w:jc w:val="center"/>
                            <w:textboxTightWrap w:val="allLines"/>
                            <w:rPr>
                              <w:i w:val="0"/>
                              <w:szCs w:val="16"/>
                            </w:rPr>
                          </w:pPr>
                          <w:r w:rsidRPr="003A55A8">
                            <w:rPr>
                              <w:i w:val="0"/>
                              <w:noProof/>
                              <w:szCs w:val="16"/>
                              <w:lang w:val="de-DE" w:eastAsia="de-DE"/>
                            </w:rPr>
                            <w:drawing>
                              <wp:inline distT="0" distB="0" distL="0" distR="0" wp14:anchorId="135E2363" wp14:editId="1D80537A">
                                <wp:extent cx="539750" cy="355600"/>
                                <wp:effectExtent l="0" t="0" r="0" b="6350"/>
                                <wp:docPr id="1"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830D0D" id="_x0000_t202" coordsize="21600,21600" o:spt="202" path="m,l,21600r21600,l21600,xe">
              <v:stroke joinstyle="miter"/>
              <v:path gradientshapeok="t" o:connecttype="rect"/>
            </v:shapetype>
            <v:shape id="Text Box 2" o:spid="_x0000_s1026" type="#_x0000_t202" style="position:absolute;margin-left:474.8pt;margin-top:51pt;width:42.5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" stroked="f">
              <v:textbox inset="0,0,0,0">
                <w:txbxContent>
                  <w:p w14:paraId="188B820D" w14:textId="77777777" w:rsidR="00AF7CE2" w:rsidRDefault="008D4582" w:rsidP="00AF7CE2">
                    <w:pPr>
                      <w:pStyle w:val="MDPIheaderjournallogo"/>
                      <w:jc w:val="center"/>
                      <w:textboxTightWrap w:val="allLines"/>
                      <w:rPr>
                        <w:i w:val="0"/>
                        <w:szCs w:val="16"/>
                      </w:rPr>
                    </w:pPr>
                    <w:r w:rsidRPr="003A55A8">
                      <w:rPr>
                        <w:i w:val="0"/>
                        <w:noProof/>
                        <w:szCs w:val="16"/>
                        <w:lang w:val="de-DE" w:eastAsia="de-DE"/>
                      </w:rPr>
                      <w:drawing>
                        <wp:inline distT="0" distB="0" distL="0" distR="0" wp14:anchorId="135E2363" wp14:editId="1D80537A">
                          <wp:extent cx="539750" cy="355600"/>
                          <wp:effectExtent l="0" t="0" r="0" b="6350"/>
                          <wp:docPr id="1"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9750" cy="355600"/>
                                  </a:xfrm>
                                  <a:prstGeom prst="rect">
                                    <a:avLst/>
                                  </a:prstGeom>
                                  <a:noFill/>
                                  <a:ln>
                                    <a:noFill/>
                                  </a:ln>
                                </pic:spPr>
                              </pic:pic>
                            </a:graphicData>
                          </a:graphic>
                        </wp:inline>
                      </w:drawing>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clean"/>
  <w:attachedTemplate r:id="rId1"/>
  <w:defaultTabStop w:val="420"/>
  <w:hyphenationZone w:val="425"/>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E6FCA"/>
    <w:rsid w:val="000618E3"/>
    <w:rsid w:val="000837C5"/>
    <w:rsid w:val="000A6F47"/>
    <w:rsid w:val="000C5011"/>
    <w:rsid w:val="000C71B0"/>
    <w:rsid w:val="000D4AE8"/>
    <w:rsid w:val="000F0E63"/>
    <w:rsid w:val="00126C03"/>
    <w:rsid w:val="00186691"/>
    <w:rsid w:val="001A79BA"/>
    <w:rsid w:val="001B645A"/>
    <w:rsid w:val="001E2AEB"/>
    <w:rsid w:val="002026A3"/>
    <w:rsid w:val="00272F25"/>
    <w:rsid w:val="002A0D6E"/>
    <w:rsid w:val="002B5823"/>
    <w:rsid w:val="00326141"/>
    <w:rsid w:val="003271CA"/>
    <w:rsid w:val="003511D8"/>
    <w:rsid w:val="0035210D"/>
    <w:rsid w:val="0038079B"/>
    <w:rsid w:val="00394E80"/>
    <w:rsid w:val="003A55A8"/>
    <w:rsid w:val="00401D30"/>
    <w:rsid w:val="0044756D"/>
    <w:rsid w:val="00454B9C"/>
    <w:rsid w:val="004807A8"/>
    <w:rsid w:val="004D3593"/>
    <w:rsid w:val="004E0105"/>
    <w:rsid w:val="004E52B6"/>
    <w:rsid w:val="00513C95"/>
    <w:rsid w:val="00534C4A"/>
    <w:rsid w:val="005425B6"/>
    <w:rsid w:val="005A0BED"/>
    <w:rsid w:val="00627D4F"/>
    <w:rsid w:val="0063570B"/>
    <w:rsid w:val="00672C04"/>
    <w:rsid w:val="00676FEB"/>
    <w:rsid w:val="006837C3"/>
    <w:rsid w:val="00692393"/>
    <w:rsid w:val="006D37E0"/>
    <w:rsid w:val="006F7149"/>
    <w:rsid w:val="007035EB"/>
    <w:rsid w:val="007312FA"/>
    <w:rsid w:val="007346D0"/>
    <w:rsid w:val="007E0075"/>
    <w:rsid w:val="00817FC9"/>
    <w:rsid w:val="00851EBD"/>
    <w:rsid w:val="00874B5B"/>
    <w:rsid w:val="008B0E4D"/>
    <w:rsid w:val="008C0D26"/>
    <w:rsid w:val="008D09DD"/>
    <w:rsid w:val="008D4582"/>
    <w:rsid w:val="008F4843"/>
    <w:rsid w:val="00925B94"/>
    <w:rsid w:val="00963346"/>
    <w:rsid w:val="00964FB2"/>
    <w:rsid w:val="009A7C8B"/>
    <w:rsid w:val="009D74AE"/>
    <w:rsid w:val="009F70E6"/>
    <w:rsid w:val="00A06051"/>
    <w:rsid w:val="00A53B15"/>
    <w:rsid w:val="00A70EAB"/>
    <w:rsid w:val="00AC2C4A"/>
    <w:rsid w:val="00AF7CE2"/>
    <w:rsid w:val="00B005DB"/>
    <w:rsid w:val="00B16352"/>
    <w:rsid w:val="00B74A9D"/>
    <w:rsid w:val="00B874CF"/>
    <w:rsid w:val="00B904C6"/>
    <w:rsid w:val="00B947EC"/>
    <w:rsid w:val="00BB5186"/>
    <w:rsid w:val="00C34630"/>
    <w:rsid w:val="00C44C10"/>
    <w:rsid w:val="00C61D24"/>
    <w:rsid w:val="00C862EE"/>
    <w:rsid w:val="00CB5C68"/>
    <w:rsid w:val="00CD4EB1"/>
    <w:rsid w:val="00CE6FCA"/>
    <w:rsid w:val="00D109C8"/>
    <w:rsid w:val="00D47808"/>
    <w:rsid w:val="00D52E07"/>
    <w:rsid w:val="00D67A84"/>
    <w:rsid w:val="00D81694"/>
    <w:rsid w:val="00D83CBF"/>
    <w:rsid w:val="00DA4414"/>
    <w:rsid w:val="00DE3283"/>
    <w:rsid w:val="00E13705"/>
    <w:rsid w:val="00E317F8"/>
    <w:rsid w:val="00E521BD"/>
    <w:rsid w:val="00F22713"/>
    <w:rsid w:val="00F528E5"/>
    <w:rsid w:val="00F71A8C"/>
    <w:rsid w:val="00F840C2"/>
    <w:rsid w:val="00FB2D45"/>
    <w:rsid w:val="00FC66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46A2D3"/>
  <w15:docId w15:val="{9927920C-A666-4ECC-98E7-76581ECB4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5">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sid w:val="00672C04"/>
    <w:pPr>
      <w:widowControl w:val="0"/>
    </w:pPr>
    <w:rPr>
      <w:rFonts w:asciiTheme="minorHAnsi" w:eastAsiaTheme="minorEastAsia" w:hAnsiTheme="minorHAnsi" w:cstheme="minorBid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3A55A8"/>
    <w:pPr>
      <w:spacing w:before="240" w:line="240" w:lineRule="auto"/>
      <w:ind w:firstLine="0"/>
      <w:jc w:val="left"/>
    </w:pPr>
    <w:rPr>
      <w:i/>
    </w:rPr>
  </w:style>
  <w:style w:type="paragraph" w:customStyle="1" w:styleId="MDPI12title">
    <w:name w:val="MDPI_1.2_title"/>
    <w:next w:val="MDPI13authornames"/>
    <w:qFormat/>
    <w:rsid w:val="003A55A8"/>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3A55A8"/>
    <w:pPr>
      <w:spacing w:after="120"/>
      <w:ind w:firstLine="0"/>
      <w:jc w:val="left"/>
    </w:pPr>
    <w:rPr>
      <w:b/>
      <w:snapToGrid/>
    </w:rPr>
  </w:style>
  <w:style w:type="paragraph" w:customStyle="1" w:styleId="MDPI14history">
    <w:name w:val="MDPI_1.4_history"/>
    <w:basedOn w:val="MDPI62Acknowledgments"/>
    <w:next w:val="Normal"/>
    <w:qFormat/>
    <w:rsid w:val="003A55A8"/>
    <w:pPr>
      <w:ind w:left="113"/>
      <w:jc w:val="left"/>
    </w:pPr>
    <w:rPr>
      <w:snapToGrid/>
    </w:rPr>
  </w:style>
  <w:style w:type="paragraph" w:customStyle="1" w:styleId="MDPI16affiliation">
    <w:name w:val="MDPI_1.6_affiliation"/>
    <w:basedOn w:val="MDPI62Acknowledgments"/>
    <w:qFormat/>
    <w:rsid w:val="003A55A8"/>
    <w:pPr>
      <w:spacing w:before="0"/>
      <w:ind w:left="311" w:hanging="198"/>
      <w:jc w:val="left"/>
    </w:pPr>
    <w:rPr>
      <w:snapToGrid/>
      <w:szCs w:val="18"/>
    </w:rPr>
  </w:style>
  <w:style w:type="paragraph" w:customStyle="1" w:styleId="MDPI17abstract">
    <w:name w:val="MDPI_1.7_abstract"/>
    <w:basedOn w:val="MDPI31text"/>
    <w:next w:val="MDPI18keywords"/>
    <w:qFormat/>
    <w:rsid w:val="003A55A8"/>
    <w:pPr>
      <w:spacing w:before="240"/>
      <w:ind w:left="113" w:firstLine="0"/>
    </w:pPr>
    <w:rPr>
      <w:snapToGrid/>
    </w:rPr>
  </w:style>
  <w:style w:type="paragraph" w:customStyle="1" w:styleId="MDPI18keywords">
    <w:name w:val="MDPI_1.8_keywords"/>
    <w:basedOn w:val="MDPI31text"/>
    <w:next w:val="Normal"/>
    <w:qFormat/>
    <w:rsid w:val="003A55A8"/>
    <w:pPr>
      <w:spacing w:before="240"/>
      <w:ind w:left="113" w:firstLine="0"/>
    </w:pPr>
  </w:style>
  <w:style w:type="paragraph" w:customStyle="1" w:styleId="MDPI19line">
    <w:name w:val="MDPI_1.9_line"/>
    <w:basedOn w:val="MDPI31text"/>
    <w:qFormat/>
    <w:rsid w:val="003A55A8"/>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3A55A8"/>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3A55A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3A55A8"/>
    <w:pPr>
      <w:widowControl/>
      <w:tabs>
        <w:tab w:val="center" w:pos="4153"/>
        <w:tab w:val="right" w:pos="8306"/>
      </w:tabs>
      <w:snapToGrid w:val="0"/>
      <w:spacing w:line="240" w:lineRule="atLeast"/>
      <w:jc w:val="both"/>
    </w:pPr>
    <w:rPr>
      <w:rFonts w:ascii="Times New Roman" w:eastAsia="Times New Roman" w:hAnsi="Times New Roman" w:cs="Times New Roman"/>
      <w:color w:val="000000"/>
      <w:sz w:val="18"/>
      <w:szCs w:val="18"/>
      <w:lang w:eastAsia="de-DE"/>
    </w:rPr>
  </w:style>
  <w:style w:type="character" w:customStyle="1" w:styleId="FooterChar">
    <w:name w:val="Footer Char"/>
    <w:link w:val="Footer"/>
    <w:uiPriority w:val="99"/>
    <w:rsid w:val="003A55A8"/>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3A55A8"/>
    <w:pPr>
      <w:widowControl/>
      <w:pBdr>
        <w:bottom w:val="single" w:sz="6" w:space="1" w:color="auto"/>
      </w:pBdr>
      <w:tabs>
        <w:tab w:val="center" w:pos="4153"/>
        <w:tab w:val="right" w:pos="8306"/>
      </w:tabs>
      <w:snapToGrid w:val="0"/>
      <w:spacing w:line="240" w:lineRule="atLeast"/>
      <w:jc w:val="center"/>
    </w:pPr>
    <w:rPr>
      <w:rFonts w:ascii="Times New Roman" w:eastAsia="Times New Roman" w:hAnsi="Times New Roman" w:cs="Times New Roman"/>
      <w:color w:val="000000"/>
      <w:sz w:val="18"/>
      <w:szCs w:val="18"/>
      <w:lang w:eastAsia="de-DE"/>
    </w:rPr>
  </w:style>
  <w:style w:type="character" w:customStyle="1" w:styleId="HeaderChar">
    <w:name w:val="Header Char"/>
    <w:link w:val="Header"/>
    <w:uiPriority w:val="99"/>
    <w:rsid w:val="003A55A8"/>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3A55A8"/>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3A55A8"/>
    <w:pPr>
      <w:ind w:firstLine="0"/>
    </w:pPr>
  </w:style>
  <w:style w:type="paragraph" w:customStyle="1" w:styleId="MDPI33textspaceafter">
    <w:name w:val="MDPI_3.3_text_space_after"/>
    <w:basedOn w:val="MDPI31text"/>
    <w:qFormat/>
    <w:rsid w:val="003A55A8"/>
    <w:pPr>
      <w:spacing w:after="240"/>
    </w:pPr>
  </w:style>
  <w:style w:type="paragraph" w:customStyle="1" w:styleId="MDPI34textspacebefore">
    <w:name w:val="MDPI_3.4_text_space_before"/>
    <w:basedOn w:val="MDPI31text"/>
    <w:qFormat/>
    <w:rsid w:val="003A55A8"/>
    <w:pPr>
      <w:spacing w:before="240"/>
    </w:pPr>
  </w:style>
  <w:style w:type="paragraph" w:customStyle="1" w:styleId="MDPI35textbeforelist">
    <w:name w:val="MDPI_3.5_text_before_list"/>
    <w:basedOn w:val="MDPI31text"/>
    <w:qFormat/>
    <w:rsid w:val="003A55A8"/>
    <w:pPr>
      <w:spacing w:after="120"/>
    </w:pPr>
  </w:style>
  <w:style w:type="paragraph" w:customStyle="1" w:styleId="MDPI36textafterlist">
    <w:name w:val="MDPI_3.6_text_after_list"/>
    <w:basedOn w:val="MDPI31text"/>
    <w:qFormat/>
    <w:rsid w:val="003A55A8"/>
    <w:pPr>
      <w:spacing w:before="120"/>
    </w:pPr>
  </w:style>
  <w:style w:type="paragraph" w:customStyle="1" w:styleId="MDPI37itemize">
    <w:name w:val="MDPI_3.7_itemize"/>
    <w:basedOn w:val="MDPI31text"/>
    <w:qFormat/>
    <w:rsid w:val="003A55A8"/>
    <w:pPr>
      <w:numPr>
        <w:numId w:val="1"/>
      </w:numPr>
      <w:ind w:left="425" w:hanging="425"/>
    </w:pPr>
  </w:style>
  <w:style w:type="paragraph" w:customStyle="1" w:styleId="MDPI38bullet">
    <w:name w:val="MDPI_3.8_bullet"/>
    <w:basedOn w:val="MDPI31text"/>
    <w:qFormat/>
    <w:rsid w:val="003A55A8"/>
    <w:pPr>
      <w:numPr>
        <w:numId w:val="2"/>
      </w:numPr>
      <w:ind w:left="425" w:hanging="425"/>
    </w:pPr>
  </w:style>
  <w:style w:type="paragraph" w:customStyle="1" w:styleId="MDPI39equation">
    <w:name w:val="MDPI_3.9_equation"/>
    <w:basedOn w:val="MDPI31text"/>
    <w:qFormat/>
    <w:rsid w:val="003A55A8"/>
    <w:pPr>
      <w:spacing w:before="120" w:after="120"/>
      <w:ind w:left="709" w:firstLine="0"/>
      <w:jc w:val="center"/>
    </w:pPr>
  </w:style>
  <w:style w:type="paragraph" w:customStyle="1" w:styleId="MDPI3aequationnumber">
    <w:name w:val="MDPI_3.a_equation_number"/>
    <w:basedOn w:val="MDPI31text"/>
    <w:qFormat/>
    <w:rsid w:val="003A55A8"/>
    <w:pPr>
      <w:spacing w:before="120" w:after="120" w:line="240" w:lineRule="auto"/>
      <w:ind w:firstLine="0"/>
      <w:jc w:val="right"/>
    </w:pPr>
  </w:style>
  <w:style w:type="paragraph" w:customStyle="1" w:styleId="MDPI62Acknowledgments">
    <w:name w:val="MDPI_6.2_Acknowledgments"/>
    <w:qFormat/>
    <w:rsid w:val="003A55A8"/>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3A55A8"/>
    <w:pPr>
      <w:spacing w:before="240" w:after="120" w:line="260" w:lineRule="atLeast"/>
      <w:ind w:left="425" w:right="425"/>
    </w:pPr>
    <w:rPr>
      <w:snapToGrid/>
      <w:szCs w:val="22"/>
    </w:rPr>
  </w:style>
  <w:style w:type="paragraph" w:customStyle="1" w:styleId="MDPI42tablebody">
    <w:name w:val="MDPI_4.2_table_body"/>
    <w:qFormat/>
    <w:rsid w:val="006F714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3A55A8"/>
    <w:pPr>
      <w:spacing w:before="0"/>
      <w:ind w:left="0" w:right="0"/>
    </w:pPr>
  </w:style>
  <w:style w:type="paragraph" w:customStyle="1" w:styleId="MDPI51figurecaption">
    <w:name w:val="MDPI_5.1_figure_caption"/>
    <w:basedOn w:val="MDPI62Acknowledgments"/>
    <w:qFormat/>
    <w:rsid w:val="003A55A8"/>
    <w:pPr>
      <w:spacing w:after="240" w:line="260" w:lineRule="atLeast"/>
      <w:ind w:left="425" w:right="425"/>
    </w:pPr>
    <w:rPr>
      <w:snapToGrid/>
    </w:rPr>
  </w:style>
  <w:style w:type="paragraph" w:customStyle="1" w:styleId="MDPI52figure">
    <w:name w:val="MDPI_5.2_figure"/>
    <w:qFormat/>
    <w:rsid w:val="003A55A8"/>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3A55A8"/>
    <w:pPr>
      <w:spacing w:before="240"/>
    </w:pPr>
    <w:rPr>
      <w:lang w:eastAsia="en-US"/>
    </w:rPr>
  </w:style>
  <w:style w:type="paragraph" w:customStyle="1" w:styleId="MDPI63AuthorContributions">
    <w:name w:val="MDPI_6.3_AuthorContributions"/>
    <w:basedOn w:val="MDPI62Acknowledgments"/>
    <w:qFormat/>
    <w:rsid w:val="003A55A8"/>
    <w:rPr>
      <w:rFonts w:eastAsia="宋体"/>
      <w:color w:val="auto"/>
      <w:lang w:eastAsia="en-US"/>
    </w:rPr>
  </w:style>
  <w:style w:type="paragraph" w:customStyle="1" w:styleId="MDPI64CoI">
    <w:name w:val="MDPI_6.4_CoI"/>
    <w:basedOn w:val="MDPI62Acknowledgments"/>
    <w:qFormat/>
    <w:rsid w:val="003A55A8"/>
  </w:style>
  <w:style w:type="paragraph" w:customStyle="1" w:styleId="MDPI81theorem">
    <w:name w:val="MDPI_8.1_theorem"/>
    <w:basedOn w:val="MDPI32textnoindent"/>
    <w:qFormat/>
    <w:rsid w:val="003A55A8"/>
    <w:rPr>
      <w:i/>
    </w:rPr>
  </w:style>
  <w:style w:type="paragraph" w:customStyle="1" w:styleId="MDPI82proof">
    <w:name w:val="MDPI_8.2_proof"/>
    <w:basedOn w:val="MDPI32textnoindent"/>
    <w:qFormat/>
    <w:rsid w:val="003A55A8"/>
  </w:style>
  <w:style w:type="paragraph" w:customStyle="1" w:styleId="MDPIfooterfirstpage">
    <w:name w:val="MDPI_footer_firstpage"/>
    <w:basedOn w:val="Normal"/>
    <w:qFormat/>
    <w:rsid w:val="003A55A8"/>
    <w:pPr>
      <w:widowControl/>
      <w:tabs>
        <w:tab w:val="right" w:pos="8845"/>
      </w:tabs>
      <w:adjustRightInd w:val="0"/>
      <w:snapToGrid w:val="0"/>
      <w:spacing w:before="120" w:line="160" w:lineRule="exact"/>
    </w:pPr>
    <w:rPr>
      <w:rFonts w:ascii="Palatino Linotype" w:eastAsia="Times New Roman" w:hAnsi="Palatino Linotype" w:cs="Times New Roman"/>
      <w:sz w:val="16"/>
      <w:szCs w:val="20"/>
      <w:lang w:eastAsia="de-DE"/>
    </w:rPr>
  </w:style>
  <w:style w:type="paragraph" w:customStyle="1" w:styleId="MDPI31text">
    <w:name w:val="MDPI_3.1_text"/>
    <w:qFormat/>
    <w:rsid w:val="003A55A8"/>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3A55A8"/>
    <w:pPr>
      <w:spacing w:before="240" w:after="120"/>
      <w:ind w:firstLine="0"/>
      <w:jc w:val="left"/>
      <w:outlineLvl w:val="2"/>
    </w:pPr>
  </w:style>
  <w:style w:type="paragraph" w:customStyle="1" w:styleId="MDPI21heading1">
    <w:name w:val="MDPI_2.1_heading1"/>
    <w:basedOn w:val="MDPI23heading3"/>
    <w:qFormat/>
    <w:rsid w:val="003A55A8"/>
    <w:pPr>
      <w:outlineLvl w:val="0"/>
    </w:pPr>
    <w:rPr>
      <w:b/>
    </w:rPr>
  </w:style>
  <w:style w:type="paragraph" w:customStyle="1" w:styleId="MDPI22heading2">
    <w:name w:val="MDPI_2.2_heading2"/>
    <w:basedOn w:val="Normal"/>
    <w:qFormat/>
    <w:rsid w:val="003A55A8"/>
    <w:pPr>
      <w:widowControl/>
      <w:kinsoku w:val="0"/>
      <w:overflowPunct w:val="0"/>
      <w:autoSpaceDE w:val="0"/>
      <w:autoSpaceDN w:val="0"/>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eastAsia="de-DE" w:bidi="en-US"/>
    </w:rPr>
  </w:style>
  <w:style w:type="paragraph" w:customStyle="1" w:styleId="MDPI71References">
    <w:name w:val="MDPI_7.1_References"/>
    <w:basedOn w:val="MDPI62Acknowledgments"/>
    <w:qFormat/>
    <w:rsid w:val="003A55A8"/>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3A55A8"/>
    <w:pPr>
      <w:widowControl/>
      <w:jc w:val="both"/>
    </w:pPr>
    <w:rPr>
      <w:rFonts w:ascii="Times New Roman" w:eastAsia="Times New Roman" w:hAnsi="Times New Roman" w:cs="Times New Roman"/>
      <w:color w:val="000000"/>
      <w:sz w:val="18"/>
      <w:szCs w:val="18"/>
      <w:lang w:eastAsia="de-DE"/>
    </w:rPr>
  </w:style>
  <w:style w:type="character" w:customStyle="1" w:styleId="BalloonTextChar">
    <w:name w:val="Balloon Text Char"/>
    <w:link w:val="BalloonText"/>
    <w:uiPriority w:val="99"/>
    <w:semiHidden/>
    <w:rsid w:val="003A55A8"/>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3A55A8"/>
  </w:style>
  <w:style w:type="table" w:customStyle="1" w:styleId="MDPI41threelinetable">
    <w:name w:val="MDPI_4.1_three_line_table"/>
    <w:basedOn w:val="TableNormal"/>
    <w:uiPriority w:val="99"/>
    <w:rsid w:val="006F7149"/>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unhideWhenUsed/>
    <w:rsid w:val="005425B6"/>
    <w:rPr>
      <w:color w:val="0563C1"/>
      <w:u w:val="single"/>
    </w:rPr>
  </w:style>
  <w:style w:type="character" w:customStyle="1" w:styleId="UnresolvedMention1">
    <w:name w:val="Unresolved Mention1"/>
    <w:uiPriority w:val="99"/>
    <w:semiHidden/>
    <w:unhideWhenUsed/>
    <w:rsid w:val="00963346"/>
    <w:rPr>
      <w:color w:val="605E5C"/>
      <w:shd w:val="clear" w:color="auto" w:fill="E1DFDD"/>
    </w:rPr>
  </w:style>
  <w:style w:type="table" w:customStyle="1" w:styleId="PlainTable41">
    <w:name w:val="Plain Table 41"/>
    <w:basedOn w:val="TableNormal"/>
    <w:uiPriority w:val="44"/>
    <w:rsid w:val="00F71A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CommentReference">
    <w:name w:val="annotation reference"/>
    <w:basedOn w:val="DefaultParagraphFont"/>
    <w:uiPriority w:val="99"/>
    <w:semiHidden/>
    <w:unhideWhenUsed/>
    <w:rsid w:val="008C0D26"/>
    <w:rPr>
      <w:sz w:val="16"/>
      <w:szCs w:val="16"/>
    </w:rPr>
  </w:style>
  <w:style w:type="paragraph" w:styleId="CommentText">
    <w:name w:val="annotation text"/>
    <w:basedOn w:val="Normal"/>
    <w:link w:val="CommentTextChar"/>
    <w:uiPriority w:val="99"/>
    <w:semiHidden/>
    <w:unhideWhenUsed/>
    <w:rsid w:val="008C0D26"/>
    <w:rPr>
      <w:sz w:val="20"/>
      <w:szCs w:val="20"/>
    </w:rPr>
  </w:style>
  <w:style w:type="character" w:customStyle="1" w:styleId="CommentTextChar">
    <w:name w:val="Comment Text Char"/>
    <w:basedOn w:val="DefaultParagraphFont"/>
    <w:link w:val="CommentText"/>
    <w:uiPriority w:val="99"/>
    <w:semiHidden/>
    <w:rsid w:val="008C0D26"/>
    <w:rPr>
      <w:rFonts w:asciiTheme="minorHAnsi" w:eastAsiaTheme="minorEastAsia" w:hAnsiTheme="minorHAnsi" w:cstheme="minorBidi"/>
      <w:lang w:eastAsia="en-US"/>
    </w:rPr>
  </w:style>
  <w:style w:type="paragraph" w:styleId="CommentSubject">
    <w:name w:val="annotation subject"/>
    <w:basedOn w:val="CommentText"/>
    <w:next w:val="CommentText"/>
    <w:link w:val="CommentSubjectChar"/>
    <w:uiPriority w:val="99"/>
    <w:semiHidden/>
    <w:unhideWhenUsed/>
    <w:rsid w:val="008C0D26"/>
    <w:rPr>
      <w:b/>
      <w:bCs/>
    </w:rPr>
  </w:style>
  <w:style w:type="character" w:customStyle="1" w:styleId="CommentSubjectChar">
    <w:name w:val="Comment Subject Char"/>
    <w:basedOn w:val="CommentTextChar"/>
    <w:link w:val="CommentSubject"/>
    <w:uiPriority w:val="99"/>
    <w:semiHidden/>
    <w:rsid w:val="008C0D26"/>
    <w:rPr>
      <w:rFonts w:asciiTheme="minorHAnsi" w:eastAsiaTheme="minorEastAsia" w:hAnsiTheme="minorHAnsi" w:cstheme="minorBidi"/>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962244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tiff"/><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tiff"/><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tif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tiff"/><Relationship Id="rId22"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dpi\Desktop\Cancers-Supplementary%20Material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Cancers-Supplementary Materials.dotx</Template>
  <TotalTime>7</TotalTime>
  <Pages>9</Pages>
  <Words>1893</Words>
  <Characters>8842</Characters>
  <Application>Microsoft Office Word</Application>
  <DocSecurity>0</DocSecurity>
  <Lines>138</Lines>
  <Paragraphs>21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10714</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mdpi</dc:creator>
  <cp:lastModifiedBy>mdpi</cp:lastModifiedBy>
  <cp:revision>3</cp:revision>
  <dcterms:created xsi:type="dcterms:W3CDTF">2019-03-11T19:14:00Z</dcterms:created>
  <dcterms:modified xsi:type="dcterms:W3CDTF">2019-03-12T01:56:00Z</dcterms:modified>
</cp:coreProperties>
</file>